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E63" w:rsidRPr="006A18B2" w:rsidRDefault="00844E63" w:rsidP="00180BBC">
      <w:pPr>
        <w:wordWrap w:val="0"/>
        <w:ind w:right="848"/>
        <w:jc w:val="center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证券代码：</w:t>
      </w:r>
      <w:r>
        <w:rPr>
          <w:rFonts w:ascii="宋体" w:hAnsi="宋体" w:cs="宋体"/>
          <w:b/>
          <w:bCs/>
          <w:sz w:val="24"/>
          <w:szCs w:val="24"/>
        </w:rPr>
        <w:t xml:space="preserve">600971      </w:t>
      </w:r>
      <w:r>
        <w:rPr>
          <w:rFonts w:ascii="宋体" w:hAnsi="宋体" w:cs="宋体" w:hint="eastAsia"/>
          <w:b/>
          <w:bCs/>
          <w:sz w:val="24"/>
          <w:szCs w:val="24"/>
        </w:rPr>
        <w:t>证券简称：恒源煤电</w:t>
      </w:r>
      <w:r>
        <w:rPr>
          <w:rFonts w:ascii="宋体" w:hAnsi="宋体" w:cs="宋体"/>
          <w:b/>
          <w:bCs/>
          <w:sz w:val="24"/>
          <w:szCs w:val="24"/>
        </w:rPr>
        <w:t xml:space="preserve">    </w:t>
      </w:r>
      <w:r w:rsidRPr="006A18B2">
        <w:rPr>
          <w:rFonts w:ascii="宋体" w:hAnsi="宋体" w:cs="宋体" w:hint="eastAsia"/>
          <w:b/>
          <w:bCs/>
          <w:sz w:val="24"/>
          <w:szCs w:val="24"/>
        </w:rPr>
        <w:t>公告编号：</w:t>
      </w:r>
      <w:r w:rsidR="00B21884" w:rsidRPr="006A18B2">
        <w:rPr>
          <w:rFonts w:ascii="宋体" w:hAnsi="宋体" w:cs="宋体" w:hint="eastAsia"/>
          <w:b/>
          <w:bCs/>
          <w:sz w:val="24"/>
          <w:szCs w:val="24"/>
        </w:rPr>
        <w:t>202</w:t>
      </w:r>
      <w:r w:rsidR="00E70082">
        <w:rPr>
          <w:rFonts w:ascii="宋体" w:hAnsi="宋体" w:cs="宋体" w:hint="eastAsia"/>
          <w:b/>
          <w:bCs/>
          <w:sz w:val="24"/>
          <w:szCs w:val="24"/>
        </w:rPr>
        <w:t>3</w:t>
      </w:r>
      <w:r w:rsidR="006E1162" w:rsidRPr="006A18B2">
        <w:rPr>
          <w:rFonts w:ascii="宋体" w:hAnsi="宋体" w:cs="宋体" w:hint="eastAsia"/>
          <w:b/>
          <w:bCs/>
          <w:sz w:val="24"/>
          <w:szCs w:val="24"/>
        </w:rPr>
        <w:t>-0</w:t>
      </w:r>
      <w:r w:rsidR="00112DBB">
        <w:rPr>
          <w:rFonts w:ascii="宋体" w:hAnsi="宋体" w:cs="宋体" w:hint="eastAsia"/>
          <w:b/>
          <w:bCs/>
          <w:sz w:val="24"/>
          <w:szCs w:val="24"/>
        </w:rPr>
        <w:t>18</w:t>
      </w:r>
    </w:p>
    <w:p w:rsidR="00844E63" w:rsidRPr="006A18B2" w:rsidRDefault="00844E63" w:rsidP="00112DBB">
      <w:pPr>
        <w:spacing w:beforeLines="100" w:before="312" w:line="360" w:lineRule="auto"/>
        <w:ind w:firstLine="641"/>
        <w:jc w:val="center"/>
        <w:rPr>
          <w:rFonts w:eastAsia="黑体" w:cs="Times New Roman"/>
          <w:b/>
          <w:bCs/>
          <w:color w:val="FF0000"/>
          <w:sz w:val="36"/>
          <w:szCs w:val="36"/>
        </w:rPr>
      </w:pP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安徽恒源煤电股份有限公司</w:t>
      </w:r>
    </w:p>
    <w:p w:rsidR="00844E63" w:rsidRPr="00180BBC" w:rsidRDefault="00844E63" w:rsidP="00180BBC">
      <w:pPr>
        <w:spacing w:line="360" w:lineRule="auto"/>
        <w:ind w:firstLine="641"/>
        <w:jc w:val="center"/>
        <w:rPr>
          <w:rFonts w:eastAsia="黑体" w:cs="Times New Roman"/>
          <w:b/>
          <w:bCs/>
          <w:color w:val="FF0000"/>
          <w:sz w:val="36"/>
          <w:szCs w:val="36"/>
        </w:rPr>
      </w:pPr>
      <w:r w:rsidRPr="006A18B2">
        <w:rPr>
          <w:rFonts w:eastAsia="黑体" w:cs="黑体"/>
          <w:b/>
          <w:bCs/>
          <w:color w:val="FF0000"/>
          <w:sz w:val="36"/>
          <w:szCs w:val="36"/>
        </w:rPr>
        <w:t>20</w:t>
      </w:r>
      <w:r w:rsidR="00B21884" w:rsidRPr="006A18B2">
        <w:rPr>
          <w:rFonts w:eastAsia="黑体" w:cs="黑体" w:hint="eastAsia"/>
          <w:b/>
          <w:bCs/>
          <w:color w:val="FF0000"/>
          <w:sz w:val="36"/>
          <w:szCs w:val="36"/>
        </w:rPr>
        <w:t>2</w:t>
      </w:r>
      <w:r w:rsidR="00112DBB">
        <w:rPr>
          <w:rFonts w:eastAsia="黑体" w:cs="黑体" w:hint="eastAsia"/>
          <w:b/>
          <w:bCs/>
          <w:color w:val="FF0000"/>
          <w:sz w:val="36"/>
          <w:szCs w:val="36"/>
        </w:rPr>
        <w:t>3</w:t>
      </w: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年</w:t>
      </w:r>
      <w:r w:rsidR="00112DBB">
        <w:rPr>
          <w:rFonts w:eastAsia="黑体" w:cs="黑体" w:hint="eastAsia"/>
          <w:b/>
          <w:bCs/>
          <w:color w:val="FF0000"/>
          <w:sz w:val="36"/>
          <w:szCs w:val="36"/>
        </w:rPr>
        <w:t>一季度</w:t>
      </w:r>
      <w:proofErr w:type="gramStart"/>
      <w:r w:rsidR="00640CA1">
        <w:rPr>
          <w:rFonts w:eastAsia="黑体" w:cs="黑体" w:hint="eastAsia"/>
          <w:b/>
          <w:bCs/>
          <w:color w:val="FF0000"/>
          <w:sz w:val="36"/>
          <w:szCs w:val="36"/>
        </w:rPr>
        <w:t>业绩预增</w:t>
      </w: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公告</w:t>
      </w:r>
      <w:proofErr w:type="gramEnd"/>
    </w:p>
    <w:p w:rsidR="00844E63" w:rsidRPr="00040160" w:rsidRDefault="00844E63" w:rsidP="00112DBB">
      <w:pPr>
        <w:autoSpaceDE w:val="0"/>
        <w:autoSpaceDN w:val="0"/>
        <w:adjustRightInd w:val="0"/>
        <w:spacing w:beforeLines="100" w:before="312"/>
        <w:ind w:firstLineChars="200" w:firstLine="560"/>
        <w:jc w:val="left"/>
        <w:rPr>
          <w:rFonts w:eastAsia="楷体_GB2312" w:cs="Times New Roman"/>
          <w:sz w:val="28"/>
          <w:szCs w:val="28"/>
        </w:rPr>
      </w:pPr>
      <w:r w:rsidRPr="00462750">
        <w:rPr>
          <w:rFonts w:eastAsia="楷体_GB2312" w:cs="楷体_GB2312" w:hint="eastAsia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640CA1" w:rsidRPr="00640CA1" w:rsidRDefault="00640CA1" w:rsidP="00640CA1">
      <w:pPr>
        <w:autoSpaceDE w:val="0"/>
        <w:autoSpaceDN w:val="0"/>
        <w:adjustRightInd w:val="0"/>
        <w:jc w:val="left"/>
        <w:rPr>
          <w:rFonts w:ascii="FangSong" w:eastAsia="FangSong" w:cs="FangSong"/>
          <w:color w:val="000000"/>
          <w:kern w:val="0"/>
          <w:sz w:val="24"/>
          <w:szCs w:val="24"/>
        </w:rPr>
      </w:pPr>
    </w:p>
    <w:p w:rsidR="00640CA1" w:rsidRPr="000C4BB7" w:rsidRDefault="00640CA1" w:rsidP="00640CA1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640CA1">
        <w:rPr>
          <w:rFonts w:ascii="宋体" w:cs="宋体"/>
          <w:b/>
          <w:kern w:val="0"/>
          <w:sz w:val="28"/>
          <w:szCs w:val="28"/>
        </w:rPr>
        <w:t xml:space="preserve"> </w:t>
      </w:r>
      <w:r w:rsidRPr="00640CA1">
        <w:rPr>
          <w:rFonts w:ascii="宋体" w:cs="宋体" w:hint="eastAsia"/>
          <w:b/>
          <w:kern w:val="0"/>
          <w:sz w:val="28"/>
          <w:szCs w:val="28"/>
        </w:rPr>
        <w:t>重要内容提示：</w:t>
      </w:r>
    </w:p>
    <w:p w:rsidR="00640CA1" w:rsidRPr="000C4BB7" w:rsidRDefault="00640CA1" w:rsidP="001711AF">
      <w:pPr>
        <w:pStyle w:val="Default"/>
        <w:spacing w:line="360" w:lineRule="auto"/>
        <w:ind w:firstLineChars="150" w:firstLine="420"/>
        <w:rPr>
          <w:sz w:val="28"/>
          <w:szCs w:val="28"/>
        </w:rPr>
      </w:pPr>
      <w:r w:rsidRPr="00640CA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1.安徽恒源煤电股份有限公司</w:t>
      </w:r>
      <w:r w:rsidRPr="00640CA1">
        <w:rPr>
          <w:rFonts w:hint="eastAsia"/>
          <w:sz w:val="28"/>
          <w:szCs w:val="28"/>
        </w:rPr>
        <w:t>（以下简称</w:t>
      </w:r>
      <w:r w:rsidRPr="00640CA1">
        <w:rPr>
          <w:sz w:val="28"/>
          <w:szCs w:val="28"/>
        </w:rPr>
        <w:t>“</w:t>
      </w:r>
      <w:r w:rsidRPr="00640CA1">
        <w:rPr>
          <w:rFonts w:hint="eastAsia"/>
          <w:sz w:val="28"/>
          <w:szCs w:val="28"/>
        </w:rPr>
        <w:t>公司</w:t>
      </w:r>
      <w:r w:rsidRPr="00640CA1">
        <w:rPr>
          <w:sz w:val="28"/>
          <w:szCs w:val="28"/>
        </w:rPr>
        <w:t>”</w:t>
      </w:r>
      <w:r w:rsidRPr="00640CA1">
        <w:rPr>
          <w:rFonts w:hint="eastAsia"/>
          <w:sz w:val="28"/>
          <w:szCs w:val="28"/>
        </w:rPr>
        <w:t>）预计</w:t>
      </w:r>
      <w:r w:rsidR="00A43B85">
        <w:rPr>
          <w:sz w:val="28"/>
          <w:szCs w:val="28"/>
        </w:rPr>
        <w:t>2023年一季度</w:t>
      </w:r>
      <w:r w:rsidRPr="00640CA1">
        <w:rPr>
          <w:rFonts w:hint="eastAsia"/>
          <w:sz w:val="28"/>
          <w:szCs w:val="28"/>
        </w:rPr>
        <w:t>实现归属于上市公司股东的净利润</w:t>
      </w:r>
      <w:r w:rsidR="000C4BB7">
        <w:rPr>
          <w:rFonts w:hint="eastAsia"/>
          <w:sz w:val="28"/>
          <w:szCs w:val="28"/>
        </w:rPr>
        <w:t>约</w:t>
      </w:r>
      <w:r w:rsidR="00A43B85">
        <w:rPr>
          <w:rFonts w:hint="eastAsia"/>
          <w:sz w:val="28"/>
          <w:szCs w:val="28"/>
        </w:rPr>
        <w:t>6.08</w:t>
      </w:r>
      <w:r w:rsidR="00440B36">
        <w:rPr>
          <w:rFonts w:hint="eastAsia"/>
          <w:sz w:val="28"/>
          <w:szCs w:val="28"/>
        </w:rPr>
        <w:t>亿</w:t>
      </w:r>
      <w:r w:rsidRPr="00640CA1">
        <w:rPr>
          <w:rFonts w:hint="eastAsia"/>
          <w:sz w:val="28"/>
          <w:szCs w:val="28"/>
        </w:rPr>
        <w:t>元，</w:t>
      </w:r>
      <w:r w:rsidR="00440B36" w:rsidRPr="000C4BB7">
        <w:rPr>
          <w:rFonts w:hint="eastAsia"/>
          <w:sz w:val="28"/>
          <w:szCs w:val="28"/>
        </w:rPr>
        <w:t>比上年同期增加人民币约</w:t>
      </w:r>
      <w:r w:rsidR="00A43B85">
        <w:rPr>
          <w:rFonts w:hint="eastAsia"/>
          <w:sz w:val="28"/>
          <w:szCs w:val="28"/>
        </w:rPr>
        <w:t>2.23</w:t>
      </w:r>
      <w:r w:rsidR="00440B36" w:rsidRPr="000C4BB7">
        <w:rPr>
          <w:rFonts w:hint="eastAsia"/>
          <w:sz w:val="28"/>
          <w:szCs w:val="28"/>
        </w:rPr>
        <w:t>亿元，同比增长约</w:t>
      </w:r>
      <w:r w:rsidR="00A43B85">
        <w:rPr>
          <w:rFonts w:hint="eastAsia"/>
          <w:sz w:val="28"/>
          <w:szCs w:val="28"/>
        </w:rPr>
        <w:t>57.98</w:t>
      </w:r>
      <w:r w:rsidR="001711AF">
        <w:rPr>
          <w:rFonts w:hint="eastAsia"/>
          <w:sz w:val="28"/>
          <w:szCs w:val="28"/>
        </w:rPr>
        <w:t>%</w:t>
      </w:r>
      <w:r w:rsidR="00440B36" w:rsidRPr="000C4BB7">
        <w:rPr>
          <w:rFonts w:hint="eastAsia"/>
          <w:sz w:val="28"/>
          <w:szCs w:val="28"/>
        </w:rPr>
        <w:t>。</w:t>
      </w:r>
      <w:r w:rsidRPr="00640CA1">
        <w:rPr>
          <w:sz w:val="28"/>
          <w:szCs w:val="28"/>
        </w:rPr>
        <w:t xml:space="preserve"> </w:t>
      </w:r>
    </w:p>
    <w:p w:rsidR="00640CA1" w:rsidRDefault="00640CA1" w:rsidP="000C4BB7">
      <w:pPr>
        <w:pStyle w:val="Default"/>
        <w:rPr>
          <w:sz w:val="28"/>
          <w:szCs w:val="28"/>
        </w:rPr>
      </w:pPr>
      <w:r w:rsidRPr="00640CA1">
        <w:rPr>
          <w:sz w:val="28"/>
          <w:szCs w:val="28"/>
        </w:rPr>
        <w:t></w:t>
      </w:r>
      <w:r w:rsidR="000C4BB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2.</w:t>
      </w:r>
      <w:r w:rsidRPr="00640CA1">
        <w:rPr>
          <w:rFonts w:hint="eastAsia"/>
          <w:sz w:val="28"/>
          <w:szCs w:val="28"/>
        </w:rPr>
        <w:t>公司预计</w:t>
      </w:r>
      <w:r w:rsidR="00A43B85">
        <w:rPr>
          <w:sz w:val="28"/>
          <w:szCs w:val="28"/>
        </w:rPr>
        <w:t>2023年一季度</w:t>
      </w:r>
      <w:r w:rsidRPr="00640CA1">
        <w:rPr>
          <w:rFonts w:hint="eastAsia"/>
          <w:sz w:val="28"/>
          <w:szCs w:val="28"/>
        </w:rPr>
        <w:t>实现归属于上市公司股东的扣除非经常性损益的净利润</w:t>
      </w:r>
      <w:r w:rsidR="000C4BB7">
        <w:rPr>
          <w:rFonts w:hint="eastAsia"/>
          <w:sz w:val="28"/>
          <w:szCs w:val="28"/>
        </w:rPr>
        <w:t>约</w:t>
      </w:r>
      <w:r w:rsidR="00A43B85">
        <w:rPr>
          <w:rFonts w:hint="eastAsia"/>
          <w:sz w:val="28"/>
          <w:szCs w:val="28"/>
        </w:rPr>
        <w:t>5.97</w:t>
      </w:r>
      <w:r w:rsidR="000C4BB7" w:rsidRPr="000C4BB7">
        <w:rPr>
          <w:rFonts w:hint="eastAsia"/>
          <w:sz w:val="28"/>
          <w:szCs w:val="28"/>
        </w:rPr>
        <w:t>亿元，比上年同期增加人民币约</w:t>
      </w:r>
      <w:r w:rsidR="00B93788">
        <w:rPr>
          <w:rFonts w:hint="eastAsia"/>
          <w:sz w:val="28"/>
          <w:szCs w:val="28"/>
        </w:rPr>
        <w:t>2.09</w:t>
      </w:r>
      <w:r w:rsidR="000C4BB7" w:rsidRPr="000C4BB7">
        <w:rPr>
          <w:rFonts w:hint="eastAsia"/>
          <w:sz w:val="28"/>
          <w:szCs w:val="28"/>
        </w:rPr>
        <w:t>亿元，同比增长约</w:t>
      </w:r>
      <w:r w:rsidR="00A43B85">
        <w:rPr>
          <w:rFonts w:hint="eastAsia"/>
          <w:sz w:val="28"/>
          <w:szCs w:val="28"/>
        </w:rPr>
        <w:t>54.02</w:t>
      </w:r>
      <w:r w:rsidR="000C4BB7" w:rsidRPr="000C4BB7">
        <w:rPr>
          <w:sz w:val="28"/>
          <w:szCs w:val="28"/>
        </w:rPr>
        <w:t>%</w:t>
      </w:r>
      <w:r w:rsidR="000C4BB7" w:rsidRPr="000C4BB7">
        <w:rPr>
          <w:rFonts w:hint="eastAsia"/>
          <w:sz w:val="28"/>
          <w:szCs w:val="28"/>
        </w:rPr>
        <w:t>。</w:t>
      </w:r>
      <w:r w:rsidR="000C4BB7" w:rsidRPr="000C4BB7">
        <w:rPr>
          <w:sz w:val="28"/>
          <w:szCs w:val="28"/>
        </w:rPr>
        <w:t xml:space="preserve"> </w:t>
      </w:r>
      <w:r w:rsidRPr="00640CA1">
        <w:rPr>
          <w:sz w:val="28"/>
          <w:szCs w:val="28"/>
        </w:rPr>
        <w:t xml:space="preserve"> </w:t>
      </w:r>
    </w:p>
    <w:p w:rsidR="00640CA1" w:rsidRPr="00640CA1" w:rsidRDefault="00640CA1" w:rsidP="00640CA1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</w:p>
    <w:p w:rsidR="00640CA1" w:rsidRPr="00640CA1" w:rsidRDefault="00640CA1" w:rsidP="00640CA1">
      <w:pPr>
        <w:autoSpaceDE w:val="0"/>
        <w:autoSpaceDN w:val="0"/>
        <w:adjustRightInd w:val="0"/>
        <w:ind w:firstLineChars="200" w:firstLine="562"/>
        <w:jc w:val="left"/>
        <w:rPr>
          <w:rFonts w:ascii="宋体" w:cs="宋体"/>
          <w:b/>
          <w:kern w:val="0"/>
          <w:sz w:val="28"/>
          <w:szCs w:val="28"/>
        </w:rPr>
      </w:pPr>
      <w:r w:rsidRPr="00640CA1">
        <w:rPr>
          <w:rFonts w:ascii="宋体" w:cs="宋体" w:hint="eastAsia"/>
          <w:b/>
          <w:kern w:val="0"/>
          <w:sz w:val="28"/>
          <w:szCs w:val="28"/>
        </w:rPr>
        <w:t>一、本期业绩预告情况</w:t>
      </w:r>
    </w:p>
    <w:p w:rsidR="00640CA1" w:rsidRPr="00640CA1" w:rsidRDefault="00640CA1" w:rsidP="00640CA1">
      <w:pPr>
        <w:autoSpaceDE w:val="0"/>
        <w:autoSpaceDN w:val="0"/>
        <w:adjustRightInd w:val="0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 w:rsidRPr="00640CA1">
        <w:rPr>
          <w:rFonts w:ascii="宋体" w:cs="宋体" w:hint="eastAsia"/>
          <w:kern w:val="0"/>
          <w:sz w:val="28"/>
          <w:szCs w:val="28"/>
        </w:rPr>
        <w:t>（一）业绩预告期间</w:t>
      </w:r>
    </w:p>
    <w:p w:rsidR="00640CA1" w:rsidRPr="00640CA1" w:rsidRDefault="00640CA1" w:rsidP="00640CA1">
      <w:pPr>
        <w:autoSpaceDE w:val="0"/>
        <w:autoSpaceDN w:val="0"/>
        <w:adjustRightInd w:val="0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 w:rsidRPr="00640CA1">
        <w:rPr>
          <w:rFonts w:ascii="宋体" w:cs="宋体"/>
          <w:kern w:val="0"/>
          <w:sz w:val="28"/>
          <w:szCs w:val="28"/>
        </w:rPr>
        <w:t>202</w:t>
      </w:r>
      <w:r w:rsidR="00A43B85">
        <w:rPr>
          <w:rFonts w:ascii="宋体" w:cs="宋体" w:hint="eastAsia"/>
          <w:kern w:val="0"/>
          <w:sz w:val="28"/>
          <w:szCs w:val="28"/>
        </w:rPr>
        <w:t>3</w:t>
      </w:r>
      <w:r w:rsidRPr="00640CA1">
        <w:rPr>
          <w:rFonts w:ascii="宋体" w:cs="宋体" w:hint="eastAsia"/>
          <w:kern w:val="0"/>
          <w:sz w:val="28"/>
          <w:szCs w:val="28"/>
        </w:rPr>
        <w:t>年</w:t>
      </w:r>
      <w:r w:rsidRPr="00640CA1">
        <w:rPr>
          <w:rFonts w:ascii="宋体" w:cs="宋体"/>
          <w:kern w:val="0"/>
          <w:sz w:val="28"/>
          <w:szCs w:val="28"/>
        </w:rPr>
        <w:t>1</w:t>
      </w:r>
      <w:r w:rsidRPr="00640CA1">
        <w:rPr>
          <w:rFonts w:ascii="宋体" w:cs="宋体" w:hint="eastAsia"/>
          <w:kern w:val="0"/>
          <w:sz w:val="28"/>
          <w:szCs w:val="28"/>
        </w:rPr>
        <w:t>月</w:t>
      </w:r>
      <w:r w:rsidRPr="00640CA1">
        <w:rPr>
          <w:rFonts w:ascii="宋体" w:cs="宋体"/>
          <w:kern w:val="0"/>
          <w:sz w:val="28"/>
          <w:szCs w:val="28"/>
        </w:rPr>
        <w:t>1</w:t>
      </w:r>
      <w:r w:rsidRPr="00640CA1">
        <w:rPr>
          <w:rFonts w:ascii="宋体" w:cs="宋体" w:hint="eastAsia"/>
          <w:kern w:val="0"/>
          <w:sz w:val="28"/>
          <w:szCs w:val="28"/>
        </w:rPr>
        <w:t>日至</w:t>
      </w:r>
      <w:r w:rsidRPr="00640CA1">
        <w:rPr>
          <w:rFonts w:ascii="宋体" w:cs="宋体"/>
          <w:kern w:val="0"/>
          <w:sz w:val="28"/>
          <w:szCs w:val="28"/>
        </w:rPr>
        <w:t>202</w:t>
      </w:r>
      <w:r w:rsidR="00A43B85">
        <w:rPr>
          <w:rFonts w:ascii="宋体" w:cs="宋体" w:hint="eastAsia"/>
          <w:kern w:val="0"/>
          <w:sz w:val="28"/>
          <w:szCs w:val="28"/>
        </w:rPr>
        <w:t>3</w:t>
      </w:r>
      <w:r w:rsidRPr="00640CA1">
        <w:rPr>
          <w:rFonts w:ascii="宋体" w:cs="宋体" w:hint="eastAsia"/>
          <w:kern w:val="0"/>
          <w:sz w:val="28"/>
          <w:szCs w:val="28"/>
        </w:rPr>
        <w:t>年</w:t>
      </w:r>
      <w:r w:rsidR="00A43B85">
        <w:rPr>
          <w:rFonts w:ascii="宋体" w:cs="宋体" w:hint="eastAsia"/>
          <w:kern w:val="0"/>
          <w:sz w:val="28"/>
          <w:szCs w:val="28"/>
        </w:rPr>
        <w:t>3</w:t>
      </w:r>
      <w:r w:rsidRPr="00640CA1">
        <w:rPr>
          <w:rFonts w:ascii="宋体" w:cs="宋体" w:hint="eastAsia"/>
          <w:kern w:val="0"/>
          <w:sz w:val="28"/>
          <w:szCs w:val="28"/>
        </w:rPr>
        <w:t>月</w:t>
      </w:r>
      <w:r w:rsidRPr="00640CA1">
        <w:rPr>
          <w:rFonts w:ascii="宋体" w:cs="宋体"/>
          <w:kern w:val="0"/>
          <w:sz w:val="28"/>
          <w:szCs w:val="28"/>
        </w:rPr>
        <w:t>31</w:t>
      </w:r>
      <w:r w:rsidRPr="00640CA1">
        <w:rPr>
          <w:rFonts w:ascii="宋体" w:cs="宋体" w:hint="eastAsia"/>
          <w:kern w:val="0"/>
          <w:sz w:val="28"/>
          <w:szCs w:val="28"/>
        </w:rPr>
        <w:t>日。</w:t>
      </w:r>
    </w:p>
    <w:p w:rsidR="00640CA1" w:rsidRPr="00640CA1" w:rsidRDefault="00640CA1" w:rsidP="00640CA1">
      <w:pPr>
        <w:autoSpaceDE w:val="0"/>
        <w:autoSpaceDN w:val="0"/>
        <w:adjustRightInd w:val="0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 w:rsidRPr="00640CA1">
        <w:rPr>
          <w:rFonts w:ascii="宋体" w:cs="宋体" w:hint="eastAsia"/>
          <w:kern w:val="0"/>
          <w:sz w:val="28"/>
          <w:szCs w:val="28"/>
        </w:rPr>
        <w:t>（二）业绩预告情况</w:t>
      </w:r>
    </w:p>
    <w:p w:rsidR="00A43B85" w:rsidRPr="000C4BB7" w:rsidRDefault="00A43B85" w:rsidP="00A43B85">
      <w:pPr>
        <w:pStyle w:val="Defaul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640CA1">
        <w:rPr>
          <w:rFonts w:hint="eastAsia"/>
          <w:sz w:val="28"/>
          <w:szCs w:val="28"/>
        </w:rPr>
        <w:t>公司预计</w:t>
      </w:r>
      <w:r>
        <w:rPr>
          <w:sz w:val="28"/>
          <w:szCs w:val="28"/>
        </w:rPr>
        <w:t>2023年一季度</w:t>
      </w:r>
      <w:r w:rsidRPr="00640CA1">
        <w:rPr>
          <w:rFonts w:hint="eastAsia"/>
          <w:sz w:val="28"/>
          <w:szCs w:val="28"/>
        </w:rPr>
        <w:t>实现归属于上市公司股东的净利润</w:t>
      </w:r>
      <w:r>
        <w:rPr>
          <w:rFonts w:hint="eastAsia"/>
          <w:sz w:val="28"/>
          <w:szCs w:val="28"/>
        </w:rPr>
        <w:t>约6.08亿</w:t>
      </w:r>
      <w:r w:rsidRPr="00640CA1">
        <w:rPr>
          <w:rFonts w:hint="eastAsia"/>
          <w:sz w:val="28"/>
          <w:szCs w:val="28"/>
        </w:rPr>
        <w:t>元，</w:t>
      </w:r>
      <w:r w:rsidRPr="000C4BB7">
        <w:rPr>
          <w:rFonts w:hint="eastAsia"/>
          <w:sz w:val="28"/>
          <w:szCs w:val="28"/>
        </w:rPr>
        <w:t>比上年同期增加人民币约</w:t>
      </w:r>
      <w:r>
        <w:rPr>
          <w:rFonts w:hint="eastAsia"/>
          <w:sz w:val="28"/>
          <w:szCs w:val="28"/>
        </w:rPr>
        <w:t>2.23</w:t>
      </w:r>
      <w:r w:rsidRPr="000C4BB7">
        <w:rPr>
          <w:rFonts w:hint="eastAsia"/>
          <w:sz w:val="28"/>
          <w:szCs w:val="28"/>
        </w:rPr>
        <w:t>亿元，同比增长约</w:t>
      </w:r>
      <w:r>
        <w:rPr>
          <w:rFonts w:hint="eastAsia"/>
          <w:sz w:val="28"/>
          <w:szCs w:val="28"/>
        </w:rPr>
        <w:t>57.98</w:t>
      </w:r>
      <w:r w:rsidR="00EF4E42">
        <w:rPr>
          <w:rFonts w:hint="eastAsia"/>
          <w:sz w:val="28"/>
          <w:szCs w:val="28"/>
        </w:rPr>
        <w:t>%</w:t>
      </w:r>
      <w:r w:rsidRPr="000C4BB7">
        <w:rPr>
          <w:rFonts w:hint="eastAsia"/>
          <w:sz w:val="28"/>
          <w:szCs w:val="28"/>
        </w:rPr>
        <w:t>。</w:t>
      </w:r>
      <w:r w:rsidRPr="00640CA1">
        <w:rPr>
          <w:sz w:val="28"/>
          <w:szCs w:val="28"/>
        </w:rPr>
        <w:t xml:space="preserve"> </w:t>
      </w:r>
    </w:p>
    <w:p w:rsidR="00A43B85" w:rsidRDefault="00A43B85" w:rsidP="00F1767B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640CA1">
        <w:rPr>
          <w:rFonts w:hint="eastAsia"/>
          <w:sz w:val="28"/>
          <w:szCs w:val="28"/>
        </w:rPr>
        <w:t>公司预计</w:t>
      </w:r>
      <w:r>
        <w:rPr>
          <w:sz w:val="28"/>
          <w:szCs w:val="28"/>
        </w:rPr>
        <w:t>2023</w:t>
      </w:r>
      <w:r>
        <w:rPr>
          <w:sz w:val="28"/>
          <w:szCs w:val="28"/>
        </w:rPr>
        <w:t>年一季度</w:t>
      </w:r>
      <w:r w:rsidRPr="00640CA1">
        <w:rPr>
          <w:rFonts w:hint="eastAsia"/>
          <w:sz w:val="28"/>
          <w:szCs w:val="28"/>
        </w:rPr>
        <w:t>实现归属于上市公司股东的扣除非经</w:t>
      </w:r>
      <w:r w:rsidRPr="00640CA1">
        <w:rPr>
          <w:rFonts w:hint="eastAsia"/>
          <w:sz w:val="28"/>
          <w:szCs w:val="28"/>
        </w:rPr>
        <w:lastRenderedPageBreak/>
        <w:t>常性损益的净利润</w:t>
      </w:r>
      <w:r>
        <w:rPr>
          <w:rFonts w:hint="eastAsia"/>
          <w:sz w:val="28"/>
          <w:szCs w:val="28"/>
        </w:rPr>
        <w:t>约</w:t>
      </w:r>
      <w:r>
        <w:rPr>
          <w:rFonts w:hint="eastAsia"/>
          <w:sz w:val="28"/>
          <w:szCs w:val="28"/>
        </w:rPr>
        <w:t>5.97</w:t>
      </w:r>
      <w:r w:rsidRPr="000C4BB7">
        <w:rPr>
          <w:rFonts w:hint="eastAsia"/>
          <w:sz w:val="28"/>
          <w:szCs w:val="28"/>
        </w:rPr>
        <w:t>亿元，比上年同期增加人民币约</w:t>
      </w:r>
      <w:r w:rsidR="00B93788">
        <w:rPr>
          <w:rFonts w:hint="eastAsia"/>
          <w:sz w:val="28"/>
          <w:szCs w:val="28"/>
        </w:rPr>
        <w:t>2.09</w:t>
      </w:r>
      <w:r w:rsidRPr="000C4BB7">
        <w:rPr>
          <w:rFonts w:hint="eastAsia"/>
          <w:sz w:val="28"/>
          <w:szCs w:val="28"/>
        </w:rPr>
        <w:t>亿元，同比增长约</w:t>
      </w:r>
      <w:r>
        <w:rPr>
          <w:rFonts w:hint="eastAsia"/>
          <w:sz w:val="28"/>
          <w:szCs w:val="28"/>
        </w:rPr>
        <w:t>54.02</w:t>
      </w:r>
      <w:r w:rsidRPr="000C4BB7">
        <w:rPr>
          <w:sz w:val="28"/>
          <w:szCs w:val="28"/>
        </w:rPr>
        <w:t>%</w:t>
      </w:r>
      <w:r w:rsidRPr="000C4BB7">
        <w:rPr>
          <w:rFonts w:hint="eastAsia"/>
          <w:sz w:val="28"/>
          <w:szCs w:val="28"/>
        </w:rPr>
        <w:t>。</w:t>
      </w:r>
    </w:p>
    <w:p w:rsidR="00640CA1" w:rsidRPr="009B63AA" w:rsidRDefault="00640CA1" w:rsidP="00A43B85">
      <w:pPr>
        <w:autoSpaceDE w:val="0"/>
        <w:autoSpaceDN w:val="0"/>
        <w:adjustRightInd w:val="0"/>
        <w:ind w:firstLineChars="200" w:firstLine="562"/>
        <w:jc w:val="left"/>
        <w:rPr>
          <w:rFonts w:ascii="宋体" w:cs="宋体"/>
          <w:b/>
          <w:kern w:val="0"/>
          <w:sz w:val="28"/>
          <w:szCs w:val="28"/>
        </w:rPr>
      </w:pPr>
      <w:r w:rsidRPr="009B63AA">
        <w:rPr>
          <w:rFonts w:ascii="宋体" w:cs="宋体" w:hint="eastAsia"/>
          <w:b/>
          <w:kern w:val="0"/>
          <w:sz w:val="28"/>
          <w:szCs w:val="28"/>
        </w:rPr>
        <w:t>二、上年同期业绩情况</w:t>
      </w:r>
    </w:p>
    <w:p w:rsidR="000C4BB7" w:rsidRPr="000C4BB7" w:rsidRDefault="000C4BB7" w:rsidP="00A43B85">
      <w:pPr>
        <w:pStyle w:val="Default"/>
        <w:ind w:firstLineChars="200" w:firstLine="560"/>
        <w:rPr>
          <w:color w:val="auto"/>
          <w:kern w:val="2"/>
          <w:sz w:val="28"/>
          <w:szCs w:val="28"/>
        </w:rPr>
      </w:pPr>
      <w:r w:rsidRPr="000C4BB7">
        <w:rPr>
          <w:rFonts w:hint="eastAsia"/>
          <w:color w:val="auto"/>
          <w:kern w:val="2"/>
          <w:sz w:val="28"/>
          <w:szCs w:val="28"/>
        </w:rPr>
        <w:t>（一）归属于上市公司股东的净利润人民币</w:t>
      </w:r>
      <w:r w:rsidR="00A43B85">
        <w:rPr>
          <w:rFonts w:hint="eastAsia"/>
          <w:color w:val="auto"/>
          <w:kern w:val="2"/>
          <w:sz w:val="28"/>
          <w:szCs w:val="28"/>
        </w:rPr>
        <w:t>3.85</w:t>
      </w:r>
      <w:r w:rsidRPr="000C4BB7">
        <w:rPr>
          <w:rFonts w:hint="eastAsia"/>
          <w:color w:val="auto"/>
          <w:kern w:val="2"/>
          <w:sz w:val="28"/>
          <w:szCs w:val="28"/>
        </w:rPr>
        <w:t>亿元。</w:t>
      </w:r>
      <w:r w:rsidRPr="000C4BB7">
        <w:rPr>
          <w:color w:val="auto"/>
          <w:kern w:val="2"/>
          <w:sz w:val="28"/>
          <w:szCs w:val="28"/>
        </w:rPr>
        <w:t xml:space="preserve"> </w:t>
      </w:r>
    </w:p>
    <w:p w:rsidR="000C4BB7" w:rsidRPr="000C4BB7" w:rsidRDefault="000C4BB7" w:rsidP="00A43B85">
      <w:pPr>
        <w:pStyle w:val="Default"/>
        <w:ind w:firstLineChars="200" w:firstLine="560"/>
        <w:rPr>
          <w:color w:val="auto"/>
          <w:kern w:val="2"/>
          <w:sz w:val="28"/>
          <w:szCs w:val="28"/>
        </w:rPr>
      </w:pPr>
      <w:r w:rsidRPr="000C4BB7">
        <w:rPr>
          <w:rFonts w:hint="eastAsia"/>
          <w:color w:val="auto"/>
          <w:kern w:val="2"/>
          <w:sz w:val="28"/>
          <w:szCs w:val="28"/>
        </w:rPr>
        <w:t>（二）归属于上市公司股东的扣除非经常性损益的净利润人民币</w:t>
      </w:r>
      <w:r w:rsidR="00A43B85">
        <w:rPr>
          <w:rFonts w:hint="eastAsia"/>
          <w:color w:val="auto"/>
          <w:kern w:val="2"/>
          <w:sz w:val="28"/>
          <w:szCs w:val="28"/>
        </w:rPr>
        <w:t>3.88</w:t>
      </w:r>
      <w:r w:rsidRPr="000C4BB7">
        <w:rPr>
          <w:rFonts w:hint="eastAsia"/>
          <w:color w:val="auto"/>
          <w:kern w:val="2"/>
          <w:sz w:val="28"/>
          <w:szCs w:val="28"/>
        </w:rPr>
        <w:t>亿元。</w:t>
      </w:r>
      <w:r w:rsidRPr="000C4BB7">
        <w:rPr>
          <w:color w:val="auto"/>
          <w:kern w:val="2"/>
          <w:sz w:val="28"/>
          <w:szCs w:val="28"/>
        </w:rPr>
        <w:t xml:space="preserve"> </w:t>
      </w:r>
    </w:p>
    <w:p w:rsidR="000C4BB7" w:rsidRPr="007C1031" w:rsidRDefault="000C4BB7" w:rsidP="00A43B85">
      <w:pPr>
        <w:pStyle w:val="Default"/>
        <w:ind w:firstLineChars="200" w:firstLine="560"/>
        <w:rPr>
          <w:sz w:val="28"/>
          <w:szCs w:val="28"/>
        </w:rPr>
      </w:pPr>
      <w:r w:rsidRPr="000C4BB7">
        <w:rPr>
          <w:rFonts w:hint="eastAsia"/>
          <w:color w:val="auto"/>
          <w:kern w:val="2"/>
          <w:sz w:val="28"/>
          <w:szCs w:val="28"/>
        </w:rPr>
        <w:t>（三）每股收益</w:t>
      </w:r>
      <w:r w:rsidR="007C1031">
        <w:rPr>
          <w:rFonts w:hint="eastAsia"/>
          <w:sz w:val="28"/>
          <w:szCs w:val="28"/>
        </w:rPr>
        <w:t>：</w:t>
      </w:r>
      <w:r w:rsidR="00A43B85">
        <w:rPr>
          <w:rFonts w:hint="eastAsia"/>
          <w:sz w:val="28"/>
          <w:szCs w:val="28"/>
        </w:rPr>
        <w:t>0.3208</w:t>
      </w:r>
      <w:r w:rsidRPr="007C1031">
        <w:rPr>
          <w:rFonts w:hint="eastAsia"/>
          <w:sz w:val="28"/>
          <w:szCs w:val="28"/>
        </w:rPr>
        <w:t>元。</w:t>
      </w:r>
      <w:r w:rsidRPr="007C1031">
        <w:rPr>
          <w:sz w:val="28"/>
          <w:szCs w:val="28"/>
        </w:rPr>
        <w:t xml:space="preserve"> </w:t>
      </w:r>
    </w:p>
    <w:p w:rsidR="00640CA1" w:rsidRPr="009B2B97" w:rsidRDefault="00640CA1" w:rsidP="000C4BB7">
      <w:pPr>
        <w:autoSpaceDE w:val="0"/>
        <w:autoSpaceDN w:val="0"/>
        <w:adjustRightInd w:val="0"/>
        <w:ind w:firstLineChars="200" w:firstLine="562"/>
        <w:jc w:val="left"/>
        <w:rPr>
          <w:rFonts w:ascii="宋体" w:cs="宋体"/>
          <w:b/>
          <w:kern w:val="0"/>
          <w:sz w:val="28"/>
          <w:szCs w:val="28"/>
        </w:rPr>
      </w:pPr>
      <w:r w:rsidRPr="009B2B97">
        <w:rPr>
          <w:rFonts w:ascii="宋体" w:cs="宋体" w:hint="eastAsia"/>
          <w:b/>
          <w:kern w:val="0"/>
          <w:sz w:val="28"/>
          <w:szCs w:val="28"/>
        </w:rPr>
        <w:t>三、本期</w:t>
      </w:r>
      <w:proofErr w:type="gramStart"/>
      <w:r w:rsidRPr="009B2B97">
        <w:rPr>
          <w:rFonts w:ascii="宋体" w:cs="宋体" w:hint="eastAsia"/>
          <w:b/>
          <w:kern w:val="0"/>
          <w:sz w:val="28"/>
          <w:szCs w:val="28"/>
        </w:rPr>
        <w:t>业绩预增的</w:t>
      </w:r>
      <w:proofErr w:type="gramEnd"/>
      <w:r w:rsidRPr="009B2B97">
        <w:rPr>
          <w:rFonts w:ascii="宋体" w:cs="宋体" w:hint="eastAsia"/>
          <w:b/>
          <w:kern w:val="0"/>
          <w:sz w:val="28"/>
          <w:szCs w:val="28"/>
        </w:rPr>
        <w:t>主要原因</w:t>
      </w:r>
    </w:p>
    <w:p w:rsidR="00640CA1" w:rsidRPr="007C1031" w:rsidRDefault="00A43B85" w:rsidP="007C1031">
      <w:pPr>
        <w:autoSpaceDE w:val="0"/>
        <w:autoSpaceDN w:val="0"/>
        <w:adjustRightInd w:val="0"/>
        <w:ind w:firstLineChars="200" w:firstLine="560"/>
        <w:jc w:val="left"/>
        <w:rPr>
          <w:rFonts w:ascii="宋体" w:cs="宋体"/>
          <w:sz w:val="28"/>
          <w:szCs w:val="28"/>
        </w:rPr>
      </w:pPr>
      <w:r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年一季度因</w:t>
      </w:r>
      <w:r w:rsidRPr="007C1031">
        <w:rPr>
          <w:rFonts w:ascii="宋体" w:cs="宋体" w:hint="eastAsia"/>
          <w:sz w:val="28"/>
          <w:szCs w:val="28"/>
        </w:rPr>
        <w:t>公司</w:t>
      </w:r>
      <w:r>
        <w:rPr>
          <w:rFonts w:ascii="宋体" w:cs="宋体" w:hint="eastAsia"/>
          <w:sz w:val="28"/>
          <w:szCs w:val="28"/>
        </w:rPr>
        <w:t>成本费用同比下降，导致净</w:t>
      </w:r>
      <w:r w:rsidR="007C1031" w:rsidRPr="007C1031">
        <w:rPr>
          <w:rFonts w:ascii="宋体" w:cs="宋体" w:hint="eastAsia"/>
          <w:sz w:val="28"/>
          <w:szCs w:val="28"/>
        </w:rPr>
        <w:t>利润</w:t>
      </w:r>
      <w:r w:rsidR="00B93788">
        <w:rPr>
          <w:rFonts w:ascii="宋体" w:cs="宋体" w:hint="eastAsia"/>
          <w:sz w:val="28"/>
          <w:szCs w:val="28"/>
        </w:rPr>
        <w:t>同比</w:t>
      </w:r>
      <w:r w:rsidR="007C1031" w:rsidRPr="007C1031">
        <w:rPr>
          <w:rFonts w:ascii="宋体" w:cs="宋体" w:hint="eastAsia"/>
          <w:sz w:val="28"/>
          <w:szCs w:val="28"/>
        </w:rPr>
        <w:t>增长</w:t>
      </w:r>
      <w:bookmarkStart w:id="0" w:name="_GoBack"/>
      <w:bookmarkEnd w:id="0"/>
      <w:r>
        <w:rPr>
          <w:rFonts w:ascii="宋体" w:cs="宋体" w:hint="eastAsia"/>
          <w:sz w:val="28"/>
          <w:szCs w:val="28"/>
        </w:rPr>
        <w:t>。</w:t>
      </w:r>
    </w:p>
    <w:p w:rsidR="00640CA1" w:rsidRPr="009B2B97" w:rsidRDefault="00640CA1" w:rsidP="009B2B97">
      <w:pPr>
        <w:autoSpaceDE w:val="0"/>
        <w:autoSpaceDN w:val="0"/>
        <w:adjustRightInd w:val="0"/>
        <w:ind w:firstLineChars="200" w:firstLine="562"/>
        <w:jc w:val="left"/>
        <w:rPr>
          <w:rFonts w:ascii="宋体" w:cs="宋体"/>
          <w:b/>
          <w:kern w:val="0"/>
          <w:sz w:val="28"/>
          <w:szCs w:val="28"/>
        </w:rPr>
      </w:pPr>
      <w:r w:rsidRPr="009B2B97">
        <w:rPr>
          <w:rFonts w:ascii="宋体" w:cs="宋体" w:hint="eastAsia"/>
          <w:b/>
          <w:kern w:val="0"/>
          <w:sz w:val="28"/>
          <w:szCs w:val="28"/>
        </w:rPr>
        <w:t>四、风险提示</w:t>
      </w:r>
    </w:p>
    <w:p w:rsidR="00640CA1" w:rsidRPr="00640CA1" w:rsidRDefault="00640CA1" w:rsidP="00640CA1">
      <w:pPr>
        <w:autoSpaceDE w:val="0"/>
        <w:autoSpaceDN w:val="0"/>
        <w:adjustRightInd w:val="0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 w:rsidRPr="00640CA1">
        <w:rPr>
          <w:rFonts w:ascii="宋体" w:cs="宋体" w:hint="eastAsia"/>
          <w:kern w:val="0"/>
          <w:sz w:val="28"/>
          <w:szCs w:val="28"/>
        </w:rPr>
        <w:t>公司不存在可能影响本次业绩预告准确性的重大不确定因素。</w:t>
      </w:r>
    </w:p>
    <w:p w:rsidR="00640CA1" w:rsidRPr="009B2B97" w:rsidRDefault="00640CA1" w:rsidP="009B2B97">
      <w:pPr>
        <w:autoSpaceDE w:val="0"/>
        <w:autoSpaceDN w:val="0"/>
        <w:adjustRightInd w:val="0"/>
        <w:ind w:firstLineChars="200" w:firstLine="562"/>
        <w:jc w:val="left"/>
        <w:rPr>
          <w:rFonts w:ascii="宋体" w:cs="宋体"/>
          <w:b/>
          <w:kern w:val="0"/>
          <w:sz w:val="28"/>
          <w:szCs w:val="28"/>
        </w:rPr>
      </w:pPr>
      <w:r w:rsidRPr="009B2B97">
        <w:rPr>
          <w:rFonts w:ascii="宋体" w:cs="宋体" w:hint="eastAsia"/>
          <w:b/>
          <w:kern w:val="0"/>
          <w:sz w:val="28"/>
          <w:szCs w:val="28"/>
        </w:rPr>
        <w:t>五、其他说明事项</w:t>
      </w:r>
    </w:p>
    <w:p w:rsidR="00640CA1" w:rsidRDefault="00640CA1" w:rsidP="00640CA1">
      <w:pPr>
        <w:pStyle w:val="Default"/>
        <w:ind w:firstLineChars="200" w:firstLine="560"/>
        <w:rPr>
          <w:color w:val="auto"/>
          <w:sz w:val="28"/>
          <w:szCs w:val="28"/>
        </w:rPr>
      </w:pPr>
      <w:r w:rsidRPr="00640CA1">
        <w:rPr>
          <w:rFonts w:hint="eastAsia"/>
          <w:color w:val="auto"/>
          <w:sz w:val="28"/>
          <w:szCs w:val="28"/>
        </w:rPr>
        <w:t>以上预告数据仅为初步核算数据，具体准确的财务数据以公司正式披露的</w:t>
      </w:r>
      <w:r w:rsidRPr="00640CA1">
        <w:rPr>
          <w:color w:val="auto"/>
          <w:sz w:val="28"/>
          <w:szCs w:val="28"/>
        </w:rPr>
        <w:t>202</w:t>
      </w:r>
      <w:r w:rsidR="008F2B7F">
        <w:rPr>
          <w:rFonts w:hint="eastAsia"/>
          <w:color w:val="auto"/>
          <w:sz w:val="28"/>
          <w:szCs w:val="28"/>
        </w:rPr>
        <w:t>3</w:t>
      </w:r>
      <w:r w:rsidRPr="00640CA1">
        <w:rPr>
          <w:rFonts w:hint="eastAsia"/>
          <w:color w:val="auto"/>
          <w:sz w:val="28"/>
          <w:szCs w:val="28"/>
        </w:rPr>
        <w:t>年</w:t>
      </w:r>
      <w:r w:rsidR="008F2B7F">
        <w:rPr>
          <w:rFonts w:hint="eastAsia"/>
          <w:color w:val="auto"/>
          <w:sz w:val="28"/>
          <w:szCs w:val="28"/>
        </w:rPr>
        <w:t>一季度报告</w:t>
      </w:r>
      <w:r w:rsidRPr="00640CA1">
        <w:rPr>
          <w:rFonts w:hint="eastAsia"/>
          <w:color w:val="auto"/>
          <w:sz w:val="28"/>
          <w:szCs w:val="28"/>
        </w:rPr>
        <w:t>为准，敬请广大投资者注意投资风险。</w:t>
      </w:r>
    </w:p>
    <w:p w:rsidR="00844E63" w:rsidRPr="006A18B2" w:rsidRDefault="00844E63" w:rsidP="00640CA1">
      <w:pPr>
        <w:pStyle w:val="Default"/>
        <w:ind w:firstLineChars="200" w:firstLine="560"/>
        <w:rPr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特此公告。</w:t>
      </w:r>
      <w:r w:rsidRPr="006A18B2">
        <w:rPr>
          <w:color w:val="auto"/>
          <w:sz w:val="28"/>
          <w:szCs w:val="28"/>
        </w:rPr>
        <w:t xml:space="preserve"> </w:t>
      </w:r>
    </w:p>
    <w:p w:rsidR="00233DED" w:rsidRDefault="00233DED" w:rsidP="00180BBC">
      <w:pPr>
        <w:pStyle w:val="Default"/>
        <w:jc w:val="right"/>
        <w:rPr>
          <w:color w:val="auto"/>
          <w:sz w:val="28"/>
          <w:szCs w:val="28"/>
        </w:rPr>
      </w:pPr>
    </w:p>
    <w:p w:rsidR="00233DED" w:rsidRDefault="00233DED" w:rsidP="00180BBC">
      <w:pPr>
        <w:pStyle w:val="Default"/>
        <w:jc w:val="right"/>
        <w:rPr>
          <w:color w:val="auto"/>
          <w:sz w:val="28"/>
          <w:szCs w:val="28"/>
        </w:rPr>
      </w:pPr>
    </w:p>
    <w:p w:rsidR="00844E63" w:rsidRPr="006A18B2" w:rsidRDefault="00844E63" w:rsidP="00180BBC">
      <w:pPr>
        <w:pStyle w:val="Default"/>
        <w:jc w:val="right"/>
        <w:rPr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安徽恒源煤电股份有限公司董事会</w:t>
      </w:r>
      <w:r w:rsidRPr="006A18B2">
        <w:rPr>
          <w:color w:val="auto"/>
          <w:sz w:val="28"/>
          <w:szCs w:val="28"/>
        </w:rPr>
        <w:t xml:space="preserve"> </w:t>
      </w:r>
    </w:p>
    <w:p w:rsidR="00844E63" w:rsidRPr="006A18B2" w:rsidRDefault="00673E43" w:rsidP="00C34E85">
      <w:pPr>
        <w:ind w:firstLineChars="1800" w:firstLine="5040"/>
        <w:rPr>
          <w:rFonts w:ascii="宋体" w:cs="宋体"/>
          <w:kern w:val="0"/>
          <w:sz w:val="28"/>
          <w:szCs w:val="28"/>
        </w:rPr>
      </w:pPr>
      <w:r w:rsidRPr="006A18B2">
        <w:rPr>
          <w:rFonts w:ascii="宋体" w:cs="宋体" w:hint="eastAsia"/>
          <w:kern w:val="0"/>
          <w:sz w:val="28"/>
          <w:szCs w:val="28"/>
        </w:rPr>
        <w:t>202</w:t>
      </w:r>
      <w:r w:rsidR="00F71696">
        <w:rPr>
          <w:rFonts w:ascii="宋体" w:cs="宋体" w:hint="eastAsia"/>
          <w:kern w:val="0"/>
          <w:sz w:val="28"/>
          <w:szCs w:val="28"/>
        </w:rPr>
        <w:t>3</w:t>
      </w:r>
      <w:r w:rsidR="00844E63" w:rsidRPr="006A18B2">
        <w:rPr>
          <w:rFonts w:ascii="宋体" w:cs="宋体" w:hint="eastAsia"/>
          <w:kern w:val="0"/>
          <w:sz w:val="28"/>
          <w:szCs w:val="28"/>
        </w:rPr>
        <w:t>年</w:t>
      </w:r>
      <w:r w:rsidR="00112DBB">
        <w:rPr>
          <w:rFonts w:ascii="宋体" w:cs="宋体" w:hint="eastAsia"/>
          <w:kern w:val="0"/>
          <w:sz w:val="28"/>
          <w:szCs w:val="28"/>
        </w:rPr>
        <w:t>4</w:t>
      </w:r>
      <w:r w:rsidR="00844E63" w:rsidRPr="006A18B2">
        <w:rPr>
          <w:rFonts w:ascii="宋体" w:cs="宋体" w:hint="eastAsia"/>
          <w:kern w:val="0"/>
          <w:sz w:val="28"/>
          <w:szCs w:val="28"/>
        </w:rPr>
        <w:t>月</w:t>
      </w:r>
      <w:r w:rsidR="00112DBB">
        <w:rPr>
          <w:rFonts w:ascii="宋体" w:cs="宋体" w:hint="eastAsia"/>
          <w:kern w:val="0"/>
          <w:sz w:val="28"/>
          <w:szCs w:val="28"/>
        </w:rPr>
        <w:t>1</w:t>
      </w:r>
      <w:r w:rsidR="00E07734">
        <w:rPr>
          <w:rFonts w:ascii="宋体" w:cs="宋体" w:hint="eastAsia"/>
          <w:kern w:val="0"/>
          <w:sz w:val="28"/>
          <w:szCs w:val="28"/>
        </w:rPr>
        <w:t>2</w:t>
      </w:r>
      <w:r w:rsidR="00844E63" w:rsidRPr="006A18B2">
        <w:rPr>
          <w:rFonts w:ascii="宋体" w:cs="宋体" w:hint="eastAsia"/>
          <w:kern w:val="0"/>
          <w:sz w:val="28"/>
          <w:szCs w:val="28"/>
        </w:rPr>
        <w:t>日</w:t>
      </w:r>
    </w:p>
    <w:sectPr w:rsidR="00844E63" w:rsidRPr="006A18B2" w:rsidSect="00D86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545" w:rsidRDefault="00113545" w:rsidP="00FA68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13545" w:rsidRDefault="00113545" w:rsidP="00FA68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545" w:rsidRDefault="00113545" w:rsidP="00FA68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13545" w:rsidRDefault="00113545" w:rsidP="00FA68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3272B"/>
    <w:multiLevelType w:val="hybridMultilevel"/>
    <w:tmpl w:val="C3CCFF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0BBC"/>
    <w:rsid w:val="000032ED"/>
    <w:rsid w:val="00003D1B"/>
    <w:rsid w:val="000045E7"/>
    <w:rsid w:val="0000532E"/>
    <w:rsid w:val="000107F0"/>
    <w:rsid w:val="00011BD1"/>
    <w:rsid w:val="00014457"/>
    <w:rsid w:val="0001782D"/>
    <w:rsid w:val="00021F8F"/>
    <w:rsid w:val="000309B0"/>
    <w:rsid w:val="00040160"/>
    <w:rsid w:val="0004619C"/>
    <w:rsid w:val="00051B0F"/>
    <w:rsid w:val="00055CB6"/>
    <w:rsid w:val="000844C8"/>
    <w:rsid w:val="0009251D"/>
    <w:rsid w:val="00093FF8"/>
    <w:rsid w:val="000A479F"/>
    <w:rsid w:val="000B4810"/>
    <w:rsid w:val="000C0C76"/>
    <w:rsid w:val="000C1157"/>
    <w:rsid w:val="000C450A"/>
    <w:rsid w:val="000C4BB7"/>
    <w:rsid w:val="000D0408"/>
    <w:rsid w:val="000D5F10"/>
    <w:rsid w:val="000F2D0F"/>
    <w:rsid w:val="000F3162"/>
    <w:rsid w:val="000F67DF"/>
    <w:rsid w:val="001077D0"/>
    <w:rsid w:val="00112DBB"/>
    <w:rsid w:val="00113545"/>
    <w:rsid w:val="00115261"/>
    <w:rsid w:val="00115A29"/>
    <w:rsid w:val="00117DA8"/>
    <w:rsid w:val="001256E0"/>
    <w:rsid w:val="00136E00"/>
    <w:rsid w:val="00141669"/>
    <w:rsid w:val="001420F8"/>
    <w:rsid w:val="001430BC"/>
    <w:rsid w:val="0014786E"/>
    <w:rsid w:val="00152C58"/>
    <w:rsid w:val="00157239"/>
    <w:rsid w:val="00157D7A"/>
    <w:rsid w:val="001653F6"/>
    <w:rsid w:val="001707C6"/>
    <w:rsid w:val="001711AF"/>
    <w:rsid w:val="0017678C"/>
    <w:rsid w:val="00177717"/>
    <w:rsid w:val="001805A7"/>
    <w:rsid w:val="00180BBC"/>
    <w:rsid w:val="00180CB9"/>
    <w:rsid w:val="00183E8F"/>
    <w:rsid w:val="0018703A"/>
    <w:rsid w:val="00191BBB"/>
    <w:rsid w:val="0019447E"/>
    <w:rsid w:val="001A3C92"/>
    <w:rsid w:val="001A6515"/>
    <w:rsid w:val="001A7829"/>
    <w:rsid w:val="001C2056"/>
    <w:rsid w:val="001C4489"/>
    <w:rsid w:val="001C58CE"/>
    <w:rsid w:val="001C69B8"/>
    <w:rsid w:val="001D0A6F"/>
    <w:rsid w:val="001D0BE5"/>
    <w:rsid w:val="001D38D7"/>
    <w:rsid w:val="001E7C98"/>
    <w:rsid w:val="001F2DE4"/>
    <w:rsid w:val="001F5F0E"/>
    <w:rsid w:val="00201AEE"/>
    <w:rsid w:val="00201C28"/>
    <w:rsid w:val="002075E5"/>
    <w:rsid w:val="0021309E"/>
    <w:rsid w:val="002166F0"/>
    <w:rsid w:val="00217538"/>
    <w:rsid w:val="00224D60"/>
    <w:rsid w:val="00233DED"/>
    <w:rsid w:val="00235AAC"/>
    <w:rsid w:val="00244504"/>
    <w:rsid w:val="00244D6E"/>
    <w:rsid w:val="00253FDC"/>
    <w:rsid w:val="00257CE8"/>
    <w:rsid w:val="002626C1"/>
    <w:rsid w:val="0026295B"/>
    <w:rsid w:val="00264C23"/>
    <w:rsid w:val="0027630E"/>
    <w:rsid w:val="0028476F"/>
    <w:rsid w:val="00292369"/>
    <w:rsid w:val="00294233"/>
    <w:rsid w:val="0029436F"/>
    <w:rsid w:val="00297CC4"/>
    <w:rsid w:val="002A4F33"/>
    <w:rsid w:val="002A77FA"/>
    <w:rsid w:val="002B3065"/>
    <w:rsid w:val="002B4318"/>
    <w:rsid w:val="002B4DD1"/>
    <w:rsid w:val="002D3867"/>
    <w:rsid w:val="002D7953"/>
    <w:rsid w:val="002E21C7"/>
    <w:rsid w:val="002E3892"/>
    <w:rsid w:val="00304F95"/>
    <w:rsid w:val="00307895"/>
    <w:rsid w:val="0031050C"/>
    <w:rsid w:val="00316B7C"/>
    <w:rsid w:val="00321186"/>
    <w:rsid w:val="00331AE1"/>
    <w:rsid w:val="0035003D"/>
    <w:rsid w:val="0035231A"/>
    <w:rsid w:val="00352B53"/>
    <w:rsid w:val="00377472"/>
    <w:rsid w:val="003865A3"/>
    <w:rsid w:val="003948EA"/>
    <w:rsid w:val="003968CA"/>
    <w:rsid w:val="003A27B3"/>
    <w:rsid w:val="003B1EE4"/>
    <w:rsid w:val="003B45F7"/>
    <w:rsid w:val="003B6623"/>
    <w:rsid w:val="003C1A48"/>
    <w:rsid w:val="003C592C"/>
    <w:rsid w:val="003C6B0E"/>
    <w:rsid w:val="003C71EE"/>
    <w:rsid w:val="003D3CEE"/>
    <w:rsid w:val="003D50BA"/>
    <w:rsid w:val="003D7498"/>
    <w:rsid w:val="003F6A0A"/>
    <w:rsid w:val="003F7B07"/>
    <w:rsid w:val="004041B0"/>
    <w:rsid w:val="004234AE"/>
    <w:rsid w:val="0042781A"/>
    <w:rsid w:val="00430153"/>
    <w:rsid w:val="00430E9B"/>
    <w:rsid w:val="00433CEA"/>
    <w:rsid w:val="00440B36"/>
    <w:rsid w:val="0044511A"/>
    <w:rsid w:val="00462750"/>
    <w:rsid w:val="00464567"/>
    <w:rsid w:val="0046531A"/>
    <w:rsid w:val="00477200"/>
    <w:rsid w:val="004869A1"/>
    <w:rsid w:val="00490CDE"/>
    <w:rsid w:val="00493D06"/>
    <w:rsid w:val="004A63BE"/>
    <w:rsid w:val="004B0ABE"/>
    <w:rsid w:val="004B0C49"/>
    <w:rsid w:val="004B4001"/>
    <w:rsid w:val="004C1FE9"/>
    <w:rsid w:val="004C226A"/>
    <w:rsid w:val="004D01E8"/>
    <w:rsid w:val="004D574A"/>
    <w:rsid w:val="004E589D"/>
    <w:rsid w:val="004F0CC3"/>
    <w:rsid w:val="005035E9"/>
    <w:rsid w:val="0051222C"/>
    <w:rsid w:val="005139AE"/>
    <w:rsid w:val="00516E09"/>
    <w:rsid w:val="00522A37"/>
    <w:rsid w:val="00525975"/>
    <w:rsid w:val="005268F4"/>
    <w:rsid w:val="005271D6"/>
    <w:rsid w:val="00532654"/>
    <w:rsid w:val="00551534"/>
    <w:rsid w:val="005515A9"/>
    <w:rsid w:val="00551A06"/>
    <w:rsid w:val="00555D1E"/>
    <w:rsid w:val="00561523"/>
    <w:rsid w:val="00580608"/>
    <w:rsid w:val="0058226E"/>
    <w:rsid w:val="00587C20"/>
    <w:rsid w:val="00591E28"/>
    <w:rsid w:val="00594695"/>
    <w:rsid w:val="00596E44"/>
    <w:rsid w:val="005A2812"/>
    <w:rsid w:val="005A4892"/>
    <w:rsid w:val="005B2B21"/>
    <w:rsid w:val="005B3065"/>
    <w:rsid w:val="005C1739"/>
    <w:rsid w:val="005C6158"/>
    <w:rsid w:val="005D60F0"/>
    <w:rsid w:val="005E1BA8"/>
    <w:rsid w:val="005F0594"/>
    <w:rsid w:val="006010F5"/>
    <w:rsid w:val="00610A11"/>
    <w:rsid w:val="00611841"/>
    <w:rsid w:val="00612C4E"/>
    <w:rsid w:val="006208B2"/>
    <w:rsid w:val="00621EBC"/>
    <w:rsid w:val="00624CDE"/>
    <w:rsid w:val="0062738D"/>
    <w:rsid w:val="006335CA"/>
    <w:rsid w:val="00635CF8"/>
    <w:rsid w:val="00636861"/>
    <w:rsid w:val="00637122"/>
    <w:rsid w:val="0063771A"/>
    <w:rsid w:val="00640CA1"/>
    <w:rsid w:val="00641646"/>
    <w:rsid w:val="00644647"/>
    <w:rsid w:val="0064629A"/>
    <w:rsid w:val="00667391"/>
    <w:rsid w:val="00671482"/>
    <w:rsid w:val="006737F2"/>
    <w:rsid w:val="00673E43"/>
    <w:rsid w:val="00673FA4"/>
    <w:rsid w:val="006741F2"/>
    <w:rsid w:val="00675C23"/>
    <w:rsid w:val="00676EEE"/>
    <w:rsid w:val="006821F8"/>
    <w:rsid w:val="00683596"/>
    <w:rsid w:val="006842BD"/>
    <w:rsid w:val="006870BB"/>
    <w:rsid w:val="0069156A"/>
    <w:rsid w:val="00697BF0"/>
    <w:rsid w:val="006A18B2"/>
    <w:rsid w:val="006A5BE6"/>
    <w:rsid w:val="006B22AE"/>
    <w:rsid w:val="006B2DE5"/>
    <w:rsid w:val="006B33FA"/>
    <w:rsid w:val="006B5259"/>
    <w:rsid w:val="006B5986"/>
    <w:rsid w:val="006C448E"/>
    <w:rsid w:val="006C4D60"/>
    <w:rsid w:val="006D7EC4"/>
    <w:rsid w:val="006E1162"/>
    <w:rsid w:val="00702DF1"/>
    <w:rsid w:val="00705D33"/>
    <w:rsid w:val="0070710C"/>
    <w:rsid w:val="007118FE"/>
    <w:rsid w:val="0071498A"/>
    <w:rsid w:val="007207A6"/>
    <w:rsid w:val="007208AD"/>
    <w:rsid w:val="007222F8"/>
    <w:rsid w:val="0072510C"/>
    <w:rsid w:val="00726E97"/>
    <w:rsid w:val="007324B9"/>
    <w:rsid w:val="00735154"/>
    <w:rsid w:val="00736E4C"/>
    <w:rsid w:val="00745C2D"/>
    <w:rsid w:val="00746664"/>
    <w:rsid w:val="00747216"/>
    <w:rsid w:val="007479E2"/>
    <w:rsid w:val="00760027"/>
    <w:rsid w:val="007612BB"/>
    <w:rsid w:val="0076526A"/>
    <w:rsid w:val="00765A48"/>
    <w:rsid w:val="007753B2"/>
    <w:rsid w:val="007773D6"/>
    <w:rsid w:val="00781F77"/>
    <w:rsid w:val="00790389"/>
    <w:rsid w:val="007B0827"/>
    <w:rsid w:val="007B088F"/>
    <w:rsid w:val="007B35D3"/>
    <w:rsid w:val="007B79CD"/>
    <w:rsid w:val="007C1031"/>
    <w:rsid w:val="007C479A"/>
    <w:rsid w:val="007D6CE4"/>
    <w:rsid w:val="007E164A"/>
    <w:rsid w:val="007E4B47"/>
    <w:rsid w:val="007E5725"/>
    <w:rsid w:val="007E580D"/>
    <w:rsid w:val="007F5EC1"/>
    <w:rsid w:val="007F6BF0"/>
    <w:rsid w:val="008129CD"/>
    <w:rsid w:val="00813869"/>
    <w:rsid w:val="00820929"/>
    <w:rsid w:val="00822F60"/>
    <w:rsid w:val="00824863"/>
    <w:rsid w:val="008252F7"/>
    <w:rsid w:val="00834791"/>
    <w:rsid w:val="00844E63"/>
    <w:rsid w:val="00844FBD"/>
    <w:rsid w:val="00845160"/>
    <w:rsid w:val="00845210"/>
    <w:rsid w:val="0084620E"/>
    <w:rsid w:val="00852C7A"/>
    <w:rsid w:val="00854505"/>
    <w:rsid w:val="00855956"/>
    <w:rsid w:val="008561E9"/>
    <w:rsid w:val="0085771E"/>
    <w:rsid w:val="00862409"/>
    <w:rsid w:val="00863076"/>
    <w:rsid w:val="00864E3B"/>
    <w:rsid w:val="0086611E"/>
    <w:rsid w:val="0086633E"/>
    <w:rsid w:val="00871B17"/>
    <w:rsid w:val="008737A4"/>
    <w:rsid w:val="008779C1"/>
    <w:rsid w:val="00881A2C"/>
    <w:rsid w:val="00882A3B"/>
    <w:rsid w:val="00883D96"/>
    <w:rsid w:val="00885FCA"/>
    <w:rsid w:val="008926B1"/>
    <w:rsid w:val="00896B5D"/>
    <w:rsid w:val="008A4412"/>
    <w:rsid w:val="008E7A5D"/>
    <w:rsid w:val="008F17DE"/>
    <w:rsid w:val="008F2A7D"/>
    <w:rsid w:val="008F2B7F"/>
    <w:rsid w:val="008F7F4F"/>
    <w:rsid w:val="00905C50"/>
    <w:rsid w:val="009144C1"/>
    <w:rsid w:val="009219D1"/>
    <w:rsid w:val="00922501"/>
    <w:rsid w:val="009273BE"/>
    <w:rsid w:val="0093335D"/>
    <w:rsid w:val="00941E0A"/>
    <w:rsid w:val="0094286C"/>
    <w:rsid w:val="0095798E"/>
    <w:rsid w:val="0098179A"/>
    <w:rsid w:val="00982310"/>
    <w:rsid w:val="0099310C"/>
    <w:rsid w:val="009A1A5F"/>
    <w:rsid w:val="009A7BAF"/>
    <w:rsid w:val="009B2B97"/>
    <w:rsid w:val="009B63AA"/>
    <w:rsid w:val="009B6870"/>
    <w:rsid w:val="009C64F2"/>
    <w:rsid w:val="009D2ABD"/>
    <w:rsid w:val="009D7D14"/>
    <w:rsid w:val="009E2A4B"/>
    <w:rsid w:val="009E4215"/>
    <w:rsid w:val="009F3B8C"/>
    <w:rsid w:val="009F4B54"/>
    <w:rsid w:val="00A03461"/>
    <w:rsid w:val="00A04D71"/>
    <w:rsid w:val="00A122FE"/>
    <w:rsid w:val="00A21086"/>
    <w:rsid w:val="00A30BEA"/>
    <w:rsid w:val="00A332C4"/>
    <w:rsid w:val="00A42D9B"/>
    <w:rsid w:val="00A43B85"/>
    <w:rsid w:val="00A63648"/>
    <w:rsid w:val="00A804D1"/>
    <w:rsid w:val="00A84CB6"/>
    <w:rsid w:val="00A8504E"/>
    <w:rsid w:val="00A851FE"/>
    <w:rsid w:val="00A95F6B"/>
    <w:rsid w:val="00A9666D"/>
    <w:rsid w:val="00AA1EA9"/>
    <w:rsid w:val="00AC6F99"/>
    <w:rsid w:val="00AE307A"/>
    <w:rsid w:val="00AE3E73"/>
    <w:rsid w:val="00AF7F9F"/>
    <w:rsid w:val="00B00BEB"/>
    <w:rsid w:val="00B024C4"/>
    <w:rsid w:val="00B028AB"/>
    <w:rsid w:val="00B0772C"/>
    <w:rsid w:val="00B134BD"/>
    <w:rsid w:val="00B13A57"/>
    <w:rsid w:val="00B1425D"/>
    <w:rsid w:val="00B21884"/>
    <w:rsid w:val="00B31E64"/>
    <w:rsid w:val="00B33C0E"/>
    <w:rsid w:val="00B4060A"/>
    <w:rsid w:val="00B42FFE"/>
    <w:rsid w:val="00B47E33"/>
    <w:rsid w:val="00B5633A"/>
    <w:rsid w:val="00B702F4"/>
    <w:rsid w:val="00B75FC6"/>
    <w:rsid w:val="00B76783"/>
    <w:rsid w:val="00B81E4E"/>
    <w:rsid w:val="00B8496C"/>
    <w:rsid w:val="00B93788"/>
    <w:rsid w:val="00B9408A"/>
    <w:rsid w:val="00B94647"/>
    <w:rsid w:val="00BA619B"/>
    <w:rsid w:val="00BB0DD7"/>
    <w:rsid w:val="00BB60BC"/>
    <w:rsid w:val="00BB6467"/>
    <w:rsid w:val="00BC1B4A"/>
    <w:rsid w:val="00BC420B"/>
    <w:rsid w:val="00BC5159"/>
    <w:rsid w:val="00BC591A"/>
    <w:rsid w:val="00BC63CA"/>
    <w:rsid w:val="00BD2BBF"/>
    <w:rsid w:val="00BE235D"/>
    <w:rsid w:val="00BE4159"/>
    <w:rsid w:val="00BF463C"/>
    <w:rsid w:val="00BF65BE"/>
    <w:rsid w:val="00C06353"/>
    <w:rsid w:val="00C06F63"/>
    <w:rsid w:val="00C07F1E"/>
    <w:rsid w:val="00C1416B"/>
    <w:rsid w:val="00C14BC8"/>
    <w:rsid w:val="00C223C7"/>
    <w:rsid w:val="00C27C5F"/>
    <w:rsid w:val="00C328A0"/>
    <w:rsid w:val="00C33822"/>
    <w:rsid w:val="00C34E85"/>
    <w:rsid w:val="00C471F9"/>
    <w:rsid w:val="00C51D44"/>
    <w:rsid w:val="00C54B53"/>
    <w:rsid w:val="00C550F5"/>
    <w:rsid w:val="00C61479"/>
    <w:rsid w:val="00C61BEC"/>
    <w:rsid w:val="00C61E27"/>
    <w:rsid w:val="00C6305B"/>
    <w:rsid w:val="00C647D2"/>
    <w:rsid w:val="00C7341A"/>
    <w:rsid w:val="00C77A72"/>
    <w:rsid w:val="00C81FBA"/>
    <w:rsid w:val="00C84258"/>
    <w:rsid w:val="00C86291"/>
    <w:rsid w:val="00C87490"/>
    <w:rsid w:val="00C87610"/>
    <w:rsid w:val="00C92770"/>
    <w:rsid w:val="00CA27DB"/>
    <w:rsid w:val="00CA5357"/>
    <w:rsid w:val="00CA6040"/>
    <w:rsid w:val="00CA7DA4"/>
    <w:rsid w:val="00CB0550"/>
    <w:rsid w:val="00CD02CD"/>
    <w:rsid w:val="00CD52CC"/>
    <w:rsid w:val="00CE17CE"/>
    <w:rsid w:val="00CF095F"/>
    <w:rsid w:val="00D03EC7"/>
    <w:rsid w:val="00D14BBD"/>
    <w:rsid w:val="00D207B5"/>
    <w:rsid w:val="00D22DC6"/>
    <w:rsid w:val="00D31A99"/>
    <w:rsid w:val="00D32C18"/>
    <w:rsid w:val="00D34680"/>
    <w:rsid w:val="00D373A4"/>
    <w:rsid w:val="00D41EF9"/>
    <w:rsid w:val="00D42DF0"/>
    <w:rsid w:val="00D47954"/>
    <w:rsid w:val="00D605E4"/>
    <w:rsid w:val="00D66B10"/>
    <w:rsid w:val="00D72ADB"/>
    <w:rsid w:val="00D82AC6"/>
    <w:rsid w:val="00D86CEA"/>
    <w:rsid w:val="00DA1601"/>
    <w:rsid w:val="00DD101E"/>
    <w:rsid w:val="00DD4F07"/>
    <w:rsid w:val="00DE04E5"/>
    <w:rsid w:val="00DE3978"/>
    <w:rsid w:val="00E0061B"/>
    <w:rsid w:val="00E02F76"/>
    <w:rsid w:val="00E04A7C"/>
    <w:rsid w:val="00E073DC"/>
    <w:rsid w:val="00E07734"/>
    <w:rsid w:val="00E105B6"/>
    <w:rsid w:val="00E15479"/>
    <w:rsid w:val="00E162AC"/>
    <w:rsid w:val="00E30674"/>
    <w:rsid w:val="00E3209D"/>
    <w:rsid w:val="00E35A55"/>
    <w:rsid w:val="00E521EA"/>
    <w:rsid w:val="00E55F10"/>
    <w:rsid w:val="00E574D7"/>
    <w:rsid w:val="00E70082"/>
    <w:rsid w:val="00E71031"/>
    <w:rsid w:val="00E71278"/>
    <w:rsid w:val="00E737F4"/>
    <w:rsid w:val="00E771B9"/>
    <w:rsid w:val="00E84787"/>
    <w:rsid w:val="00E84E72"/>
    <w:rsid w:val="00E85D74"/>
    <w:rsid w:val="00E91012"/>
    <w:rsid w:val="00E95135"/>
    <w:rsid w:val="00E959BA"/>
    <w:rsid w:val="00E9622C"/>
    <w:rsid w:val="00EA2BEF"/>
    <w:rsid w:val="00EA77F4"/>
    <w:rsid w:val="00EB75B9"/>
    <w:rsid w:val="00EC16DB"/>
    <w:rsid w:val="00EC1E63"/>
    <w:rsid w:val="00EC3F6B"/>
    <w:rsid w:val="00EC65DE"/>
    <w:rsid w:val="00ED1419"/>
    <w:rsid w:val="00EE24D1"/>
    <w:rsid w:val="00EE3459"/>
    <w:rsid w:val="00EE36FC"/>
    <w:rsid w:val="00EF4E42"/>
    <w:rsid w:val="00EF7904"/>
    <w:rsid w:val="00F02E0F"/>
    <w:rsid w:val="00F13EC3"/>
    <w:rsid w:val="00F1767B"/>
    <w:rsid w:val="00F20756"/>
    <w:rsid w:val="00F21759"/>
    <w:rsid w:val="00F251F7"/>
    <w:rsid w:val="00F3551A"/>
    <w:rsid w:val="00F37823"/>
    <w:rsid w:val="00F438DF"/>
    <w:rsid w:val="00F55BBD"/>
    <w:rsid w:val="00F644BB"/>
    <w:rsid w:val="00F644DD"/>
    <w:rsid w:val="00F66987"/>
    <w:rsid w:val="00F71696"/>
    <w:rsid w:val="00F904E5"/>
    <w:rsid w:val="00FA4236"/>
    <w:rsid w:val="00FA688D"/>
    <w:rsid w:val="00FA7C7E"/>
    <w:rsid w:val="00FB19B2"/>
    <w:rsid w:val="00FB628F"/>
    <w:rsid w:val="00FD3260"/>
    <w:rsid w:val="00FD790B"/>
    <w:rsid w:val="00FD799B"/>
    <w:rsid w:val="00FE0D9A"/>
    <w:rsid w:val="00FF0F0B"/>
    <w:rsid w:val="00FF7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E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80BB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3">
    <w:name w:val="Table Grid"/>
    <w:basedOn w:val="a1"/>
    <w:uiPriority w:val="99"/>
    <w:rsid w:val="00180B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rsid w:val="00FA6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FA688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FA6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FA688D"/>
    <w:rPr>
      <w:sz w:val="18"/>
      <w:szCs w:val="18"/>
    </w:rPr>
  </w:style>
  <w:style w:type="paragraph" w:styleId="a6">
    <w:name w:val="List Paragraph"/>
    <w:basedOn w:val="a"/>
    <w:uiPriority w:val="34"/>
    <w:qFormat/>
    <w:rsid w:val="00A8504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E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80BB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3">
    <w:name w:val="Table Grid"/>
    <w:basedOn w:val="a1"/>
    <w:uiPriority w:val="99"/>
    <w:rsid w:val="00180B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rsid w:val="00FA6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FA688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FA6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FA688D"/>
    <w:rPr>
      <w:sz w:val="18"/>
      <w:szCs w:val="18"/>
    </w:rPr>
  </w:style>
  <w:style w:type="paragraph" w:styleId="a6">
    <w:name w:val="List Paragraph"/>
    <w:basedOn w:val="a"/>
    <w:uiPriority w:val="34"/>
    <w:qFormat/>
    <w:rsid w:val="00A850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119</Words>
  <Characters>683</Characters>
  <Application>Microsoft Office Word</Application>
  <DocSecurity>0</DocSecurity>
  <Lines>5</Lines>
  <Paragraphs>1</Paragraphs>
  <ScaleCrop>false</ScaleCrop>
  <Company>china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证券代码：600971      证券简称：恒源煤电    公告编号：2017-018</dc:title>
  <dc:creator>Administrator</dc:creator>
  <cp:lastModifiedBy>赵海波</cp:lastModifiedBy>
  <cp:revision>31</cp:revision>
  <cp:lastPrinted>2018-07-11T07:12:00Z</cp:lastPrinted>
  <dcterms:created xsi:type="dcterms:W3CDTF">2020-07-10T00:35:00Z</dcterms:created>
  <dcterms:modified xsi:type="dcterms:W3CDTF">2023-04-11T00:53:00Z</dcterms:modified>
</cp:coreProperties>
</file>