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E63" w:rsidRPr="006E1162" w:rsidRDefault="00844E63" w:rsidP="00180BBC">
      <w:pPr>
        <w:wordWrap w:val="0"/>
        <w:ind w:right="848"/>
        <w:jc w:val="center"/>
        <w:rPr>
          <w:rFonts w:ascii="宋体" w:cs="Times New Roman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证券代码：</w:t>
      </w:r>
      <w:r>
        <w:rPr>
          <w:rFonts w:ascii="宋体" w:hAnsi="宋体" w:cs="宋体"/>
          <w:b/>
          <w:bCs/>
          <w:sz w:val="24"/>
          <w:szCs w:val="24"/>
        </w:rPr>
        <w:t xml:space="preserve">600971      </w:t>
      </w:r>
      <w:r>
        <w:rPr>
          <w:rFonts w:ascii="宋体" w:hAnsi="宋体" w:cs="宋体" w:hint="eastAsia"/>
          <w:b/>
          <w:bCs/>
          <w:sz w:val="24"/>
          <w:szCs w:val="24"/>
        </w:rPr>
        <w:t>证券简称：恒源煤电</w:t>
      </w:r>
      <w:r>
        <w:rPr>
          <w:rFonts w:ascii="宋体" w:hAnsi="宋体" w:cs="宋体"/>
          <w:b/>
          <w:bCs/>
          <w:sz w:val="24"/>
          <w:szCs w:val="24"/>
        </w:rPr>
        <w:t xml:space="preserve">    </w:t>
      </w:r>
      <w:r>
        <w:rPr>
          <w:rFonts w:ascii="宋体" w:hAnsi="宋体" w:cs="宋体" w:hint="eastAsia"/>
          <w:b/>
          <w:bCs/>
          <w:sz w:val="24"/>
          <w:szCs w:val="24"/>
        </w:rPr>
        <w:t>公告</w:t>
      </w:r>
      <w:r w:rsidRPr="006E1162">
        <w:rPr>
          <w:rFonts w:ascii="宋体" w:hAnsi="宋体" w:cs="宋体" w:hint="eastAsia"/>
          <w:b/>
          <w:bCs/>
          <w:sz w:val="24"/>
          <w:szCs w:val="24"/>
        </w:rPr>
        <w:t>编号：</w:t>
      </w:r>
      <w:r w:rsidR="00B21884" w:rsidRPr="006E1162">
        <w:rPr>
          <w:rFonts w:ascii="宋体" w:hAnsi="宋体" w:cs="宋体" w:hint="eastAsia"/>
          <w:b/>
          <w:bCs/>
          <w:sz w:val="24"/>
          <w:szCs w:val="24"/>
        </w:rPr>
        <w:t>2020</w:t>
      </w:r>
      <w:r w:rsidR="006E1162" w:rsidRPr="006E1162">
        <w:rPr>
          <w:rFonts w:ascii="宋体" w:hAnsi="宋体" w:cs="宋体" w:hint="eastAsia"/>
          <w:b/>
          <w:bCs/>
          <w:sz w:val="24"/>
          <w:szCs w:val="24"/>
        </w:rPr>
        <w:t>-024</w:t>
      </w:r>
    </w:p>
    <w:p w:rsidR="00844E63" w:rsidRDefault="00844E63" w:rsidP="00683596">
      <w:pPr>
        <w:spacing w:beforeLines="100" w:before="312" w:line="360" w:lineRule="auto"/>
        <w:ind w:firstLine="641"/>
        <w:jc w:val="center"/>
        <w:rPr>
          <w:rFonts w:eastAsia="黑体" w:cs="Times New Roman"/>
          <w:b/>
          <w:bCs/>
          <w:color w:val="FF0000"/>
          <w:sz w:val="36"/>
          <w:szCs w:val="36"/>
        </w:rPr>
      </w:pPr>
      <w:r w:rsidRPr="00C84258">
        <w:rPr>
          <w:rFonts w:eastAsia="黑体" w:cs="黑体" w:hint="eastAsia"/>
          <w:b/>
          <w:bCs/>
          <w:color w:val="FF0000"/>
          <w:sz w:val="36"/>
          <w:szCs w:val="36"/>
        </w:rPr>
        <w:t>安徽恒源煤电股份有限公司</w:t>
      </w:r>
    </w:p>
    <w:p w:rsidR="00844E63" w:rsidRPr="00180BBC" w:rsidRDefault="00844E63" w:rsidP="00180BBC">
      <w:pPr>
        <w:spacing w:line="360" w:lineRule="auto"/>
        <w:ind w:firstLine="641"/>
        <w:jc w:val="center"/>
        <w:rPr>
          <w:rFonts w:eastAsia="黑体" w:cs="Times New Roman"/>
          <w:b/>
          <w:bCs/>
          <w:color w:val="FF0000"/>
          <w:sz w:val="36"/>
          <w:szCs w:val="36"/>
        </w:rPr>
      </w:pPr>
      <w:r w:rsidRPr="007E580D">
        <w:rPr>
          <w:rFonts w:eastAsia="黑体" w:cs="黑体"/>
          <w:b/>
          <w:bCs/>
          <w:color w:val="FF0000"/>
          <w:sz w:val="36"/>
          <w:szCs w:val="36"/>
        </w:rPr>
        <w:t>20</w:t>
      </w:r>
      <w:r w:rsidR="00B21884" w:rsidRPr="007E580D">
        <w:rPr>
          <w:rFonts w:eastAsia="黑体" w:cs="黑体" w:hint="eastAsia"/>
          <w:b/>
          <w:bCs/>
          <w:color w:val="FF0000"/>
          <w:sz w:val="36"/>
          <w:szCs w:val="36"/>
        </w:rPr>
        <w:t>20</w:t>
      </w:r>
      <w:r w:rsidRPr="00180BBC">
        <w:rPr>
          <w:rFonts w:eastAsia="黑体" w:cs="黑体" w:hint="eastAsia"/>
          <w:b/>
          <w:bCs/>
          <w:color w:val="FF0000"/>
          <w:sz w:val="36"/>
          <w:szCs w:val="36"/>
        </w:rPr>
        <w:t>年</w:t>
      </w:r>
      <w:r w:rsidR="00177717">
        <w:rPr>
          <w:rFonts w:eastAsia="黑体" w:cs="黑体" w:hint="eastAsia"/>
          <w:b/>
          <w:bCs/>
          <w:color w:val="FF0000"/>
          <w:sz w:val="36"/>
          <w:szCs w:val="36"/>
        </w:rPr>
        <w:t>半年度</w:t>
      </w:r>
      <w:r w:rsidRPr="00180BBC">
        <w:rPr>
          <w:rFonts w:eastAsia="黑体" w:cs="黑体" w:hint="eastAsia"/>
          <w:b/>
          <w:bCs/>
          <w:color w:val="FF0000"/>
          <w:sz w:val="36"/>
          <w:szCs w:val="36"/>
        </w:rPr>
        <w:t>经营数据公告</w:t>
      </w:r>
    </w:p>
    <w:p w:rsidR="00844E63" w:rsidRPr="00040160" w:rsidRDefault="00844E63" w:rsidP="00683596">
      <w:pPr>
        <w:autoSpaceDE w:val="0"/>
        <w:autoSpaceDN w:val="0"/>
        <w:adjustRightInd w:val="0"/>
        <w:spacing w:beforeLines="100" w:before="312"/>
        <w:ind w:firstLineChars="200" w:firstLine="560"/>
        <w:jc w:val="left"/>
        <w:rPr>
          <w:rFonts w:eastAsia="楷体_GB2312" w:cs="Times New Roman"/>
          <w:sz w:val="28"/>
          <w:szCs w:val="28"/>
        </w:rPr>
      </w:pPr>
      <w:r w:rsidRPr="00462750">
        <w:rPr>
          <w:rFonts w:eastAsia="楷体_GB2312" w:cs="楷体_GB2312" w:hint="eastAsia"/>
          <w:sz w:val="28"/>
          <w:szCs w:val="28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844E63" w:rsidRDefault="00844E63" w:rsidP="0058226E">
      <w:pPr>
        <w:ind w:firstLineChars="200" w:firstLine="560"/>
        <w:rPr>
          <w:rFonts w:cs="Times New Roman"/>
        </w:rPr>
      </w:pPr>
      <w:r>
        <w:rPr>
          <w:rFonts w:cs="宋体" w:hint="eastAsia"/>
          <w:sz w:val="28"/>
          <w:szCs w:val="28"/>
        </w:rPr>
        <w:t>根据上海证券交易所《上市公司行业信息披露指引第三号</w:t>
      </w:r>
      <w:r>
        <w:rPr>
          <w:sz w:val="28"/>
          <w:szCs w:val="28"/>
        </w:rPr>
        <w:t>-</w:t>
      </w:r>
      <w:r>
        <w:rPr>
          <w:rFonts w:cs="宋体" w:hint="eastAsia"/>
          <w:sz w:val="28"/>
          <w:szCs w:val="28"/>
        </w:rPr>
        <w:t>煤炭》要求，特此公告公司</w:t>
      </w:r>
      <w:r w:rsidR="00C550F5">
        <w:rPr>
          <w:rFonts w:hint="eastAsia"/>
          <w:sz w:val="28"/>
          <w:szCs w:val="28"/>
        </w:rPr>
        <w:t>2020</w:t>
      </w:r>
      <w:r>
        <w:rPr>
          <w:rFonts w:cs="宋体" w:hint="eastAsia"/>
          <w:sz w:val="28"/>
          <w:szCs w:val="28"/>
        </w:rPr>
        <w:t>年</w:t>
      </w:r>
      <w:r w:rsidR="0058226E">
        <w:rPr>
          <w:rFonts w:cs="宋体" w:hint="eastAsia"/>
          <w:sz w:val="28"/>
          <w:szCs w:val="28"/>
        </w:rPr>
        <w:t>上半年</w:t>
      </w:r>
      <w:r>
        <w:rPr>
          <w:rFonts w:cs="宋体" w:hint="eastAsia"/>
          <w:sz w:val="28"/>
          <w:szCs w:val="28"/>
        </w:rPr>
        <w:t>经营数据。</w:t>
      </w:r>
    </w:p>
    <w:tbl>
      <w:tblPr>
        <w:tblW w:w="9249" w:type="dxa"/>
        <w:jc w:val="center"/>
        <w:tblInd w:w="-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49"/>
        <w:gridCol w:w="1843"/>
        <w:gridCol w:w="2129"/>
        <w:gridCol w:w="1828"/>
      </w:tblGrid>
      <w:tr w:rsidR="00844E63" w:rsidRPr="00F251F7" w:rsidTr="006E1162">
        <w:trPr>
          <w:trHeight w:val="514"/>
          <w:jc w:val="center"/>
        </w:trPr>
        <w:tc>
          <w:tcPr>
            <w:tcW w:w="3449" w:type="dxa"/>
            <w:vAlign w:val="center"/>
          </w:tcPr>
          <w:p w:rsidR="00844E63" w:rsidRPr="006E1162" w:rsidRDefault="00844E63" w:rsidP="006E1162">
            <w:pPr>
              <w:pStyle w:val="Default"/>
              <w:jc w:val="center"/>
              <w:rPr>
                <w:rFonts w:hAnsi="宋体" w:cs="Times New Roman"/>
              </w:rPr>
            </w:pPr>
            <w:r w:rsidRPr="006E1162">
              <w:rPr>
                <w:rFonts w:hAnsi="宋体" w:hint="eastAsia"/>
              </w:rPr>
              <w:t>项</w:t>
            </w:r>
            <w:r w:rsidRPr="006E1162">
              <w:rPr>
                <w:rFonts w:hAnsi="宋体"/>
              </w:rPr>
              <w:t xml:space="preserve"> </w:t>
            </w:r>
            <w:r w:rsidRPr="006E1162">
              <w:rPr>
                <w:rFonts w:hAnsi="宋体" w:hint="eastAsia"/>
              </w:rPr>
              <w:t>目</w:t>
            </w:r>
          </w:p>
        </w:tc>
        <w:tc>
          <w:tcPr>
            <w:tcW w:w="1843" w:type="dxa"/>
            <w:vAlign w:val="center"/>
          </w:tcPr>
          <w:p w:rsidR="00844E63" w:rsidRPr="006E1162" w:rsidRDefault="00844E63" w:rsidP="006E1162">
            <w:pPr>
              <w:pStyle w:val="Default"/>
              <w:jc w:val="center"/>
              <w:rPr>
                <w:rFonts w:hAnsi="宋体" w:cs="Times New Roman"/>
              </w:rPr>
            </w:pPr>
            <w:r w:rsidRPr="006E1162">
              <w:rPr>
                <w:rFonts w:hAnsi="宋体"/>
              </w:rPr>
              <w:t>1-</w:t>
            </w:r>
            <w:r w:rsidR="0058226E" w:rsidRPr="006E1162">
              <w:rPr>
                <w:rFonts w:hAnsi="宋体" w:hint="eastAsia"/>
              </w:rPr>
              <w:t>6</w:t>
            </w:r>
            <w:r w:rsidRPr="006E1162">
              <w:rPr>
                <w:rFonts w:hAnsi="宋体" w:hint="eastAsia"/>
              </w:rPr>
              <w:t>月累计数</w:t>
            </w:r>
          </w:p>
        </w:tc>
        <w:tc>
          <w:tcPr>
            <w:tcW w:w="2129" w:type="dxa"/>
            <w:vAlign w:val="center"/>
          </w:tcPr>
          <w:p w:rsidR="00844E63" w:rsidRPr="006E1162" w:rsidRDefault="00844E63" w:rsidP="006E1162">
            <w:pPr>
              <w:pStyle w:val="Default"/>
              <w:jc w:val="center"/>
              <w:rPr>
                <w:rFonts w:hAnsi="宋体" w:cs="Times New Roman"/>
              </w:rPr>
            </w:pPr>
            <w:r w:rsidRPr="006E1162">
              <w:rPr>
                <w:rFonts w:hAnsi="宋体" w:hint="eastAsia"/>
              </w:rPr>
              <w:t>上期</w:t>
            </w:r>
            <w:r w:rsidRPr="006E1162">
              <w:rPr>
                <w:rFonts w:hAnsi="宋体"/>
              </w:rPr>
              <w:t>1-</w:t>
            </w:r>
            <w:r w:rsidR="0058226E" w:rsidRPr="006E1162">
              <w:rPr>
                <w:rFonts w:hAnsi="宋体" w:hint="eastAsia"/>
              </w:rPr>
              <w:t>6</w:t>
            </w:r>
            <w:r w:rsidRPr="006E1162">
              <w:rPr>
                <w:rFonts w:hAnsi="宋体" w:hint="eastAsia"/>
              </w:rPr>
              <w:t>月累计数</w:t>
            </w:r>
          </w:p>
        </w:tc>
        <w:tc>
          <w:tcPr>
            <w:tcW w:w="1828" w:type="dxa"/>
            <w:vAlign w:val="center"/>
          </w:tcPr>
          <w:p w:rsidR="00844E63" w:rsidRPr="006E1162" w:rsidRDefault="00844E63" w:rsidP="006E1162">
            <w:pPr>
              <w:pStyle w:val="Default"/>
              <w:jc w:val="center"/>
              <w:rPr>
                <w:rFonts w:hAnsi="宋体" w:cs="Times New Roman"/>
              </w:rPr>
            </w:pPr>
            <w:r w:rsidRPr="006E1162">
              <w:rPr>
                <w:rFonts w:hAnsi="宋体" w:hint="eastAsia"/>
              </w:rPr>
              <w:t>变动比例（</w:t>
            </w:r>
            <w:r w:rsidRPr="006E1162">
              <w:rPr>
                <w:rFonts w:hAnsi="宋体"/>
              </w:rPr>
              <w:t>%</w:t>
            </w:r>
            <w:r w:rsidRPr="006E1162">
              <w:rPr>
                <w:rFonts w:hAnsi="宋体" w:hint="eastAsia"/>
              </w:rPr>
              <w:t>）</w:t>
            </w:r>
          </w:p>
        </w:tc>
      </w:tr>
      <w:tr w:rsidR="00A04D71" w:rsidRPr="00F251F7" w:rsidTr="006E1162">
        <w:trPr>
          <w:trHeight w:val="514"/>
          <w:jc w:val="center"/>
        </w:trPr>
        <w:tc>
          <w:tcPr>
            <w:tcW w:w="3449" w:type="dxa"/>
            <w:vAlign w:val="center"/>
          </w:tcPr>
          <w:p w:rsidR="00A04D71" w:rsidRPr="00AA1EA9" w:rsidRDefault="00A04D71" w:rsidP="007222F8">
            <w:pPr>
              <w:pStyle w:val="Default"/>
              <w:jc w:val="both"/>
              <w:rPr>
                <w:sz w:val="28"/>
                <w:szCs w:val="28"/>
              </w:rPr>
            </w:pPr>
            <w:r w:rsidRPr="00AA1EA9">
              <w:rPr>
                <w:rFonts w:hint="eastAsia"/>
                <w:sz w:val="28"/>
                <w:szCs w:val="28"/>
              </w:rPr>
              <w:t>原煤产量（万吨）</w:t>
            </w:r>
            <w:r w:rsidRPr="00AA1EA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A04D71" w:rsidRDefault="00A04D71">
            <w:pPr>
              <w:jc w:val="right"/>
              <w:rPr>
                <w:rFonts w:cs="宋体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464.27 </w:t>
            </w:r>
          </w:p>
        </w:tc>
        <w:tc>
          <w:tcPr>
            <w:tcW w:w="2129" w:type="dxa"/>
            <w:vAlign w:val="center"/>
          </w:tcPr>
          <w:p w:rsidR="00A04D71" w:rsidRDefault="00A04D71" w:rsidP="007A2222">
            <w:pPr>
              <w:jc w:val="right"/>
              <w:rPr>
                <w:rFonts w:cs="宋体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522.31 </w:t>
            </w:r>
          </w:p>
        </w:tc>
        <w:tc>
          <w:tcPr>
            <w:tcW w:w="1828" w:type="dxa"/>
            <w:vAlign w:val="center"/>
          </w:tcPr>
          <w:p w:rsidR="00A04D71" w:rsidRDefault="00A04D71">
            <w:pPr>
              <w:jc w:val="right"/>
              <w:rPr>
                <w:rFonts w:cs="宋体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-11.11 </w:t>
            </w:r>
          </w:p>
        </w:tc>
      </w:tr>
      <w:tr w:rsidR="00A04D71" w:rsidRPr="00F251F7" w:rsidTr="006E1162">
        <w:trPr>
          <w:trHeight w:val="514"/>
          <w:jc w:val="center"/>
        </w:trPr>
        <w:tc>
          <w:tcPr>
            <w:tcW w:w="3449" w:type="dxa"/>
            <w:vAlign w:val="center"/>
          </w:tcPr>
          <w:p w:rsidR="00A04D71" w:rsidRPr="00AA1EA9" w:rsidRDefault="00A04D71" w:rsidP="007222F8">
            <w:pPr>
              <w:pStyle w:val="Default"/>
              <w:jc w:val="both"/>
              <w:rPr>
                <w:rFonts w:cs="Times New Roman"/>
                <w:sz w:val="28"/>
                <w:szCs w:val="28"/>
              </w:rPr>
            </w:pPr>
            <w:r w:rsidRPr="00AA1EA9">
              <w:rPr>
                <w:rFonts w:hint="eastAsia"/>
                <w:sz w:val="28"/>
                <w:szCs w:val="28"/>
              </w:rPr>
              <w:t>商品煤产量（万吨）</w:t>
            </w:r>
          </w:p>
        </w:tc>
        <w:tc>
          <w:tcPr>
            <w:tcW w:w="1843" w:type="dxa"/>
            <w:vAlign w:val="center"/>
          </w:tcPr>
          <w:p w:rsidR="00A04D71" w:rsidRDefault="00A04D71">
            <w:pPr>
              <w:jc w:val="right"/>
              <w:rPr>
                <w:rFonts w:cs="宋体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334.49 </w:t>
            </w:r>
          </w:p>
        </w:tc>
        <w:tc>
          <w:tcPr>
            <w:tcW w:w="2129" w:type="dxa"/>
            <w:vAlign w:val="center"/>
          </w:tcPr>
          <w:p w:rsidR="00A04D71" w:rsidRDefault="00A04D71" w:rsidP="007A2222">
            <w:pPr>
              <w:jc w:val="right"/>
              <w:rPr>
                <w:rFonts w:cs="宋体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466.87 </w:t>
            </w:r>
          </w:p>
        </w:tc>
        <w:tc>
          <w:tcPr>
            <w:tcW w:w="1828" w:type="dxa"/>
            <w:vAlign w:val="center"/>
          </w:tcPr>
          <w:p w:rsidR="00A04D71" w:rsidRDefault="00A04D71">
            <w:pPr>
              <w:jc w:val="right"/>
              <w:rPr>
                <w:rFonts w:cs="宋体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-28.35 </w:t>
            </w:r>
          </w:p>
        </w:tc>
      </w:tr>
      <w:tr w:rsidR="00A04D71" w:rsidRPr="00F251F7" w:rsidTr="006E1162">
        <w:trPr>
          <w:trHeight w:val="514"/>
          <w:jc w:val="center"/>
        </w:trPr>
        <w:tc>
          <w:tcPr>
            <w:tcW w:w="3449" w:type="dxa"/>
            <w:vAlign w:val="center"/>
          </w:tcPr>
          <w:p w:rsidR="00A04D71" w:rsidRPr="00AA1EA9" w:rsidRDefault="00A04D71" w:rsidP="007222F8">
            <w:pPr>
              <w:pStyle w:val="Default"/>
              <w:jc w:val="both"/>
              <w:rPr>
                <w:sz w:val="28"/>
                <w:szCs w:val="28"/>
              </w:rPr>
            </w:pPr>
            <w:r w:rsidRPr="00AA1EA9">
              <w:rPr>
                <w:rFonts w:hint="eastAsia"/>
                <w:sz w:val="28"/>
                <w:szCs w:val="28"/>
              </w:rPr>
              <w:t>商品煤销量（万吨）</w:t>
            </w:r>
            <w:r w:rsidRPr="00AA1EA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A04D71" w:rsidRDefault="00A04D71">
            <w:pPr>
              <w:jc w:val="right"/>
              <w:rPr>
                <w:rFonts w:cs="宋体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342.34 </w:t>
            </w:r>
          </w:p>
        </w:tc>
        <w:tc>
          <w:tcPr>
            <w:tcW w:w="2129" w:type="dxa"/>
            <w:vAlign w:val="center"/>
          </w:tcPr>
          <w:p w:rsidR="00A04D71" w:rsidRDefault="00A04D71" w:rsidP="007A2222">
            <w:pPr>
              <w:jc w:val="right"/>
              <w:rPr>
                <w:rFonts w:cs="宋体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476.97 </w:t>
            </w:r>
          </w:p>
        </w:tc>
        <w:tc>
          <w:tcPr>
            <w:tcW w:w="1828" w:type="dxa"/>
            <w:vAlign w:val="center"/>
          </w:tcPr>
          <w:p w:rsidR="00A04D71" w:rsidRDefault="00A04D71">
            <w:pPr>
              <w:jc w:val="right"/>
              <w:rPr>
                <w:rFonts w:cs="宋体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-28.23 </w:t>
            </w:r>
          </w:p>
        </w:tc>
      </w:tr>
      <w:tr w:rsidR="00A04D71" w:rsidRPr="00F251F7" w:rsidTr="006E1162">
        <w:trPr>
          <w:trHeight w:val="514"/>
          <w:jc w:val="center"/>
        </w:trPr>
        <w:tc>
          <w:tcPr>
            <w:tcW w:w="3449" w:type="dxa"/>
            <w:vAlign w:val="center"/>
          </w:tcPr>
          <w:p w:rsidR="00A04D71" w:rsidRPr="00AA1EA9" w:rsidRDefault="00A04D71" w:rsidP="007222F8">
            <w:pPr>
              <w:pStyle w:val="Default"/>
              <w:jc w:val="both"/>
              <w:rPr>
                <w:sz w:val="28"/>
                <w:szCs w:val="28"/>
              </w:rPr>
            </w:pPr>
            <w:r w:rsidRPr="00AA1EA9">
              <w:rPr>
                <w:rFonts w:hint="eastAsia"/>
                <w:sz w:val="28"/>
                <w:szCs w:val="28"/>
              </w:rPr>
              <w:t>煤炭主营销售收入（万元）</w:t>
            </w:r>
            <w:r w:rsidRPr="00AA1EA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A04D71" w:rsidRDefault="00A04D71">
            <w:pPr>
              <w:jc w:val="right"/>
              <w:rPr>
                <w:rFonts w:cs="宋体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211,566.12 </w:t>
            </w:r>
          </w:p>
        </w:tc>
        <w:tc>
          <w:tcPr>
            <w:tcW w:w="2129" w:type="dxa"/>
            <w:vAlign w:val="center"/>
          </w:tcPr>
          <w:p w:rsidR="00A04D71" w:rsidRDefault="00A04D71" w:rsidP="007A2222">
            <w:pPr>
              <w:jc w:val="right"/>
              <w:rPr>
                <w:rFonts w:cs="宋体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308,141.72 </w:t>
            </w:r>
          </w:p>
        </w:tc>
        <w:tc>
          <w:tcPr>
            <w:tcW w:w="1828" w:type="dxa"/>
            <w:vAlign w:val="center"/>
          </w:tcPr>
          <w:p w:rsidR="00A04D71" w:rsidRDefault="00A04D71">
            <w:pPr>
              <w:jc w:val="right"/>
              <w:rPr>
                <w:rFonts w:cs="宋体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-31.34 </w:t>
            </w:r>
          </w:p>
        </w:tc>
      </w:tr>
      <w:tr w:rsidR="00A04D71" w:rsidRPr="00F251F7" w:rsidTr="006E1162">
        <w:trPr>
          <w:trHeight w:val="514"/>
          <w:jc w:val="center"/>
        </w:trPr>
        <w:tc>
          <w:tcPr>
            <w:tcW w:w="3449" w:type="dxa"/>
            <w:vAlign w:val="center"/>
          </w:tcPr>
          <w:p w:rsidR="00A04D71" w:rsidRPr="00AA1EA9" w:rsidRDefault="00A04D71" w:rsidP="007222F8">
            <w:pPr>
              <w:pStyle w:val="Default"/>
              <w:jc w:val="both"/>
              <w:rPr>
                <w:sz w:val="28"/>
                <w:szCs w:val="28"/>
              </w:rPr>
            </w:pPr>
            <w:r w:rsidRPr="00AA1EA9">
              <w:rPr>
                <w:rFonts w:hint="eastAsia"/>
                <w:sz w:val="28"/>
                <w:szCs w:val="28"/>
              </w:rPr>
              <w:t>煤炭主营销售成本（万元）</w:t>
            </w:r>
            <w:r w:rsidRPr="00AA1EA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A04D71" w:rsidRDefault="00A04D71">
            <w:pPr>
              <w:jc w:val="right"/>
              <w:rPr>
                <w:rFonts w:cs="宋体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128,971.82 </w:t>
            </w:r>
          </w:p>
        </w:tc>
        <w:tc>
          <w:tcPr>
            <w:tcW w:w="2129" w:type="dxa"/>
            <w:vAlign w:val="center"/>
          </w:tcPr>
          <w:p w:rsidR="00A04D71" w:rsidRDefault="00A04D71" w:rsidP="007A2222">
            <w:pPr>
              <w:jc w:val="right"/>
              <w:rPr>
                <w:rFonts w:cs="宋体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195,733.11 </w:t>
            </w:r>
          </w:p>
        </w:tc>
        <w:tc>
          <w:tcPr>
            <w:tcW w:w="1828" w:type="dxa"/>
            <w:vAlign w:val="center"/>
          </w:tcPr>
          <w:p w:rsidR="00A04D71" w:rsidRDefault="00A04D71">
            <w:pPr>
              <w:jc w:val="right"/>
              <w:rPr>
                <w:rFonts w:cs="宋体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-34.11 </w:t>
            </w:r>
          </w:p>
        </w:tc>
      </w:tr>
      <w:tr w:rsidR="00A04D71" w:rsidRPr="00F251F7" w:rsidTr="006E1162">
        <w:trPr>
          <w:trHeight w:val="514"/>
          <w:jc w:val="center"/>
        </w:trPr>
        <w:tc>
          <w:tcPr>
            <w:tcW w:w="3449" w:type="dxa"/>
            <w:vAlign w:val="center"/>
          </w:tcPr>
          <w:p w:rsidR="00A04D71" w:rsidRPr="00AA1EA9" w:rsidRDefault="00A04D71" w:rsidP="007222F8">
            <w:pPr>
              <w:pStyle w:val="Default"/>
              <w:jc w:val="both"/>
              <w:rPr>
                <w:sz w:val="28"/>
                <w:szCs w:val="28"/>
              </w:rPr>
            </w:pPr>
            <w:r w:rsidRPr="00AA1EA9">
              <w:rPr>
                <w:rFonts w:hint="eastAsia"/>
                <w:sz w:val="28"/>
                <w:szCs w:val="28"/>
              </w:rPr>
              <w:t>商品煤销售毛利（万元）</w:t>
            </w:r>
            <w:r w:rsidRPr="00AA1EA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A04D71" w:rsidRDefault="00A04D71">
            <w:pPr>
              <w:jc w:val="right"/>
              <w:rPr>
                <w:rFonts w:cs="宋体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82,594.30 </w:t>
            </w:r>
          </w:p>
        </w:tc>
        <w:tc>
          <w:tcPr>
            <w:tcW w:w="2129" w:type="dxa"/>
            <w:vAlign w:val="center"/>
          </w:tcPr>
          <w:p w:rsidR="00A04D71" w:rsidRDefault="00A04D71" w:rsidP="007A2222">
            <w:pPr>
              <w:jc w:val="right"/>
              <w:rPr>
                <w:rFonts w:cs="宋体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112,408.61 </w:t>
            </w:r>
          </w:p>
        </w:tc>
        <w:tc>
          <w:tcPr>
            <w:tcW w:w="1828" w:type="dxa"/>
            <w:vAlign w:val="center"/>
          </w:tcPr>
          <w:p w:rsidR="00A04D71" w:rsidRDefault="00A04D71">
            <w:pPr>
              <w:jc w:val="right"/>
              <w:rPr>
                <w:rFonts w:cs="宋体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-26.52 </w:t>
            </w:r>
          </w:p>
        </w:tc>
      </w:tr>
    </w:tbl>
    <w:p w:rsidR="004B0ABE" w:rsidRDefault="00555D1E" w:rsidP="0058226E">
      <w:pPr>
        <w:pStyle w:val="Defaul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上半年</w:t>
      </w:r>
      <w:r w:rsidR="001D38D7">
        <w:rPr>
          <w:rFonts w:hint="eastAsia"/>
          <w:sz w:val="28"/>
          <w:szCs w:val="28"/>
        </w:rPr>
        <w:t>，公司商品煤产销量下降主要受</w:t>
      </w:r>
      <w:r>
        <w:rPr>
          <w:rFonts w:hint="eastAsia"/>
          <w:sz w:val="28"/>
          <w:szCs w:val="28"/>
        </w:rPr>
        <w:t>一季度复工复产和二季度</w:t>
      </w:r>
      <w:r w:rsidR="001D38D7">
        <w:rPr>
          <w:rFonts w:hint="eastAsia"/>
          <w:sz w:val="28"/>
          <w:szCs w:val="28"/>
        </w:rPr>
        <w:t>公司所属部分矿井工作面过断层影响，并影响到公司主营销售收入</w:t>
      </w:r>
      <w:r>
        <w:rPr>
          <w:rFonts w:hint="eastAsia"/>
          <w:sz w:val="28"/>
          <w:szCs w:val="28"/>
        </w:rPr>
        <w:t>、</w:t>
      </w:r>
      <w:r w:rsidR="001D38D7">
        <w:rPr>
          <w:rFonts w:hint="eastAsia"/>
          <w:sz w:val="28"/>
          <w:szCs w:val="28"/>
        </w:rPr>
        <w:t>成本</w:t>
      </w:r>
      <w:r>
        <w:rPr>
          <w:rFonts w:hint="eastAsia"/>
          <w:sz w:val="28"/>
          <w:szCs w:val="28"/>
        </w:rPr>
        <w:t>和</w:t>
      </w:r>
      <w:r w:rsidRPr="00555D1E">
        <w:rPr>
          <w:rFonts w:hint="eastAsia"/>
          <w:sz w:val="28"/>
          <w:szCs w:val="28"/>
        </w:rPr>
        <w:t>商品煤销售</w:t>
      </w:r>
      <w:r>
        <w:rPr>
          <w:rFonts w:hint="eastAsia"/>
          <w:sz w:val="28"/>
          <w:szCs w:val="28"/>
        </w:rPr>
        <w:t>毛利</w:t>
      </w:r>
      <w:r w:rsidR="006E1162">
        <w:rPr>
          <w:rFonts w:hint="eastAsia"/>
          <w:sz w:val="28"/>
          <w:szCs w:val="28"/>
        </w:rPr>
        <w:t>。</w:t>
      </w:r>
      <w:r w:rsidR="001D38D7" w:rsidRPr="001D38D7">
        <w:rPr>
          <w:rFonts w:hint="eastAsia"/>
          <w:sz w:val="28"/>
          <w:szCs w:val="28"/>
        </w:rPr>
        <w:t>根据</w:t>
      </w:r>
      <w:r w:rsidR="001D38D7">
        <w:rPr>
          <w:rFonts w:hint="eastAsia"/>
          <w:sz w:val="28"/>
          <w:szCs w:val="28"/>
        </w:rPr>
        <w:t>最新政策</w:t>
      </w:r>
      <w:r w:rsidR="001D38D7" w:rsidRPr="001D38D7">
        <w:rPr>
          <w:rFonts w:hint="eastAsia"/>
          <w:sz w:val="28"/>
          <w:szCs w:val="28"/>
        </w:rPr>
        <w:t>，公司在减征期内享受</w:t>
      </w:r>
      <w:r w:rsidR="00C21E8B">
        <w:rPr>
          <w:rFonts w:hint="eastAsia"/>
          <w:sz w:val="28"/>
          <w:szCs w:val="28"/>
        </w:rPr>
        <w:t>企业</w:t>
      </w:r>
      <w:r w:rsidR="001D38D7" w:rsidRPr="001D38D7">
        <w:rPr>
          <w:rFonts w:hint="eastAsia"/>
          <w:sz w:val="28"/>
          <w:szCs w:val="28"/>
        </w:rPr>
        <w:t>社会保险费、</w:t>
      </w:r>
      <w:r w:rsidR="00C21E8B">
        <w:rPr>
          <w:rFonts w:hint="eastAsia"/>
          <w:sz w:val="28"/>
          <w:szCs w:val="28"/>
        </w:rPr>
        <w:t>职工</w:t>
      </w:r>
      <w:r w:rsidR="001D38D7" w:rsidRPr="001D38D7">
        <w:rPr>
          <w:rFonts w:hint="eastAsia"/>
          <w:sz w:val="28"/>
          <w:szCs w:val="28"/>
        </w:rPr>
        <w:t>基本医疗保险费的减</w:t>
      </w:r>
      <w:bookmarkStart w:id="0" w:name="_GoBack"/>
      <w:bookmarkEnd w:id="0"/>
      <w:r w:rsidR="001D38D7" w:rsidRPr="001D38D7">
        <w:rPr>
          <w:rFonts w:hint="eastAsia"/>
          <w:sz w:val="28"/>
          <w:szCs w:val="28"/>
        </w:rPr>
        <w:t>半征收政策</w:t>
      </w:r>
      <w:r w:rsidR="006E1162">
        <w:rPr>
          <w:rFonts w:hint="eastAsia"/>
          <w:sz w:val="28"/>
          <w:szCs w:val="28"/>
        </w:rPr>
        <w:t>带来成本下降</w:t>
      </w:r>
      <w:r w:rsidR="001D38D7" w:rsidRPr="001D38D7">
        <w:rPr>
          <w:rFonts w:hint="eastAsia"/>
          <w:sz w:val="28"/>
          <w:szCs w:val="28"/>
        </w:rPr>
        <w:t>。</w:t>
      </w:r>
    </w:p>
    <w:p w:rsidR="00844E63" w:rsidRDefault="00844E63" w:rsidP="0058226E">
      <w:pPr>
        <w:pStyle w:val="Default"/>
        <w:ind w:firstLineChars="200" w:firstLine="560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本公告之经营数据未经审计，以上数据源自公司报告期内财务数据，为投资者及时了解公司生产经营概况之用，可能与公司定期报告披露的数据有差异。公司董事会提醒投资者审慎使用该等数据。</w:t>
      </w:r>
    </w:p>
    <w:p w:rsidR="00844E63" w:rsidRDefault="00844E63" w:rsidP="0058226E">
      <w:pPr>
        <w:pStyle w:val="Defaul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特此公告。</w:t>
      </w:r>
      <w:r>
        <w:rPr>
          <w:sz w:val="28"/>
          <w:szCs w:val="28"/>
        </w:rPr>
        <w:t xml:space="preserve"> </w:t>
      </w:r>
    </w:p>
    <w:p w:rsidR="00844E63" w:rsidRDefault="00844E63" w:rsidP="0058226E">
      <w:pPr>
        <w:pStyle w:val="Default"/>
        <w:ind w:firstLineChars="200" w:firstLine="560"/>
        <w:rPr>
          <w:sz w:val="28"/>
          <w:szCs w:val="28"/>
        </w:rPr>
      </w:pPr>
    </w:p>
    <w:p w:rsidR="00844E63" w:rsidRDefault="00844E63" w:rsidP="00180BBC">
      <w:pPr>
        <w:pStyle w:val="Default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安徽恒源煤电股份有限公司董事会</w:t>
      </w:r>
      <w:r>
        <w:rPr>
          <w:sz w:val="28"/>
          <w:szCs w:val="28"/>
        </w:rPr>
        <w:t xml:space="preserve"> </w:t>
      </w:r>
    </w:p>
    <w:p w:rsidR="00844E63" w:rsidRPr="007E580D" w:rsidRDefault="00844E63" w:rsidP="00C34E85">
      <w:pPr>
        <w:ind w:firstLineChars="1800" w:firstLine="5040"/>
        <w:rPr>
          <w:rFonts w:ascii="宋体" w:cs="宋体"/>
          <w:color w:val="000000"/>
          <w:kern w:val="0"/>
          <w:sz w:val="28"/>
          <w:szCs w:val="28"/>
        </w:rPr>
      </w:pPr>
      <w:r w:rsidRPr="007E580D">
        <w:rPr>
          <w:rFonts w:ascii="宋体" w:cs="宋体"/>
          <w:color w:val="000000"/>
          <w:kern w:val="0"/>
          <w:sz w:val="28"/>
          <w:szCs w:val="28"/>
        </w:rPr>
        <w:t>20</w:t>
      </w:r>
      <w:r w:rsidR="0075468B">
        <w:rPr>
          <w:rFonts w:ascii="宋体" w:cs="宋体" w:hint="eastAsia"/>
          <w:color w:val="000000"/>
          <w:kern w:val="0"/>
          <w:sz w:val="28"/>
          <w:szCs w:val="28"/>
        </w:rPr>
        <w:t>20</w:t>
      </w:r>
      <w:r w:rsidRPr="007E580D">
        <w:rPr>
          <w:rFonts w:ascii="宋体" w:cs="宋体" w:hint="eastAsia"/>
          <w:color w:val="000000"/>
          <w:kern w:val="0"/>
          <w:sz w:val="28"/>
          <w:szCs w:val="28"/>
        </w:rPr>
        <w:t>年</w:t>
      </w:r>
      <w:r w:rsidRPr="007E580D">
        <w:rPr>
          <w:rFonts w:ascii="宋体" w:cs="宋体"/>
          <w:color w:val="000000"/>
          <w:kern w:val="0"/>
          <w:sz w:val="28"/>
          <w:szCs w:val="28"/>
        </w:rPr>
        <w:t>7</w:t>
      </w:r>
      <w:r w:rsidRPr="007E580D">
        <w:rPr>
          <w:rFonts w:ascii="宋体" w:cs="宋体" w:hint="eastAsia"/>
          <w:color w:val="000000"/>
          <w:kern w:val="0"/>
          <w:sz w:val="28"/>
          <w:szCs w:val="28"/>
        </w:rPr>
        <w:t>月</w:t>
      </w:r>
      <w:r w:rsidRPr="007E580D">
        <w:rPr>
          <w:rFonts w:ascii="宋体" w:cs="宋体"/>
          <w:color w:val="000000"/>
          <w:kern w:val="0"/>
          <w:sz w:val="28"/>
          <w:szCs w:val="28"/>
        </w:rPr>
        <w:t>1</w:t>
      </w:r>
      <w:r w:rsidR="006E1162">
        <w:rPr>
          <w:rFonts w:ascii="宋体" w:cs="宋体" w:hint="eastAsia"/>
          <w:color w:val="000000"/>
          <w:kern w:val="0"/>
          <w:sz w:val="28"/>
          <w:szCs w:val="28"/>
        </w:rPr>
        <w:t>1</w:t>
      </w:r>
      <w:r w:rsidRPr="007E580D">
        <w:rPr>
          <w:rFonts w:ascii="宋体" w:cs="宋体" w:hint="eastAsia"/>
          <w:color w:val="000000"/>
          <w:kern w:val="0"/>
          <w:sz w:val="28"/>
          <w:szCs w:val="28"/>
        </w:rPr>
        <w:t>日</w:t>
      </w:r>
    </w:p>
    <w:sectPr w:rsidR="00844E63" w:rsidRPr="007E580D" w:rsidSect="00D86C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B3F" w:rsidRDefault="00C45B3F" w:rsidP="00FA688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45B3F" w:rsidRDefault="00C45B3F" w:rsidP="00FA688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B3F" w:rsidRDefault="00C45B3F" w:rsidP="00FA688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45B3F" w:rsidRDefault="00C45B3F" w:rsidP="00FA688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3272B"/>
    <w:multiLevelType w:val="hybridMultilevel"/>
    <w:tmpl w:val="C3CCFF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BBC"/>
    <w:rsid w:val="000032ED"/>
    <w:rsid w:val="000045E7"/>
    <w:rsid w:val="0000532E"/>
    <w:rsid w:val="000107F0"/>
    <w:rsid w:val="00014457"/>
    <w:rsid w:val="0001782D"/>
    <w:rsid w:val="00021F8F"/>
    <w:rsid w:val="000309B0"/>
    <w:rsid w:val="00040160"/>
    <w:rsid w:val="0004619C"/>
    <w:rsid w:val="00055CB6"/>
    <w:rsid w:val="000844C8"/>
    <w:rsid w:val="0009251D"/>
    <w:rsid w:val="00093FF8"/>
    <w:rsid w:val="000A479F"/>
    <w:rsid w:val="000B4810"/>
    <w:rsid w:val="000C0C76"/>
    <w:rsid w:val="000C1157"/>
    <w:rsid w:val="000C450A"/>
    <w:rsid w:val="000D0408"/>
    <w:rsid w:val="000D5F10"/>
    <w:rsid w:val="000F2D0F"/>
    <w:rsid w:val="000F3162"/>
    <w:rsid w:val="000F67DF"/>
    <w:rsid w:val="001077D0"/>
    <w:rsid w:val="00115A29"/>
    <w:rsid w:val="00117DA8"/>
    <w:rsid w:val="001256E0"/>
    <w:rsid w:val="00136E00"/>
    <w:rsid w:val="00141669"/>
    <w:rsid w:val="001420F8"/>
    <w:rsid w:val="001430BC"/>
    <w:rsid w:val="0014786E"/>
    <w:rsid w:val="00152C58"/>
    <w:rsid w:val="00157239"/>
    <w:rsid w:val="001653F6"/>
    <w:rsid w:val="001707C6"/>
    <w:rsid w:val="0017678C"/>
    <w:rsid w:val="00177717"/>
    <w:rsid w:val="001805A7"/>
    <w:rsid w:val="00180BBC"/>
    <w:rsid w:val="00180CB9"/>
    <w:rsid w:val="00183E8F"/>
    <w:rsid w:val="00191BBB"/>
    <w:rsid w:val="0019447E"/>
    <w:rsid w:val="001A3C92"/>
    <w:rsid w:val="001A6515"/>
    <w:rsid w:val="001A7829"/>
    <w:rsid w:val="001C2056"/>
    <w:rsid w:val="001C4489"/>
    <w:rsid w:val="001C58CE"/>
    <w:rsid w:val="001C69B8"/>
    <w:rsid w:val="001D0A6F"/>
    <w:rsid w:val="001D0BE5"/>
    <w:rsid w:val="001D38D7"/>
    <w:rsid w:val="001E7C98"/>
    <w:rsid w:val="001F2DE4"/>
    <w:rsid w:val="001F5F0E"/>
    <w:rsid w:val="00201AEE"/>
    <w:rsid w:val="00201C28"/>
    <w:rsid w:val="002075E5"/>
    <w:rsid w:val="0021309E"/>
    <w:rsid w:val="002166F0"/>
    <w:rsid w:val="00217538"/>
    <w:rsid w:val="00224D60"/>
    <w:rsid w:val="00235AAC"/>
    <w:rsid w:val="00244504"/>
    <w:rsid w:val="00244D6E"/>
    <w:rsid w:val="00253FDC"/>
    <w:rsid w:val="00257CE8"/>
    <w:rsid w:val="002626C1"/>
    <w:rsid w:val="0026295B"/>
    <w:rsid w:val="0027630E"/>
    <w:rsid w:val="0028476F"/>
    <w:rsid w:val="00292369"/>
    <w:rsid w:val="00294233"/>
    <w:rsid w:val="0029436F"/>
    <w:rsid w:val="00297CC4"/>
    <w:rsid w:val="002A4F33"/>
    <w:rsid w:val="002A77FA"/>
    <w:rsid w:val="002B3065"/>
    <w:rsid w:val="002B4318"/>
    <w:rsid w:val="002B4DD1"/>
    <w:rsid w:val="002D3867"/>
    <w:rsid w:val="002D7953"/>
    <w:rsid w:val="002E21C7"/>
    <w:rsid w:val="002E3892"/>
    <w:rsid w:val="00304F95"/>
    <w:rsid w:val="00307895"/>
    <w:rsid w:val="0031050C"/>
    <w:rsid w:val="00316B7C"/>
    <w:rsid w:val="00321186"/>
    <w:rsid w:val="00331AE1"/>
    <w:rsid w:val="0035003D"/>
    <w:rsid w:val="0035231A"/>
    <w:rsid w:val="00352B53"/>
    <w:rsid w:val="00377472"/>
    <w:rsid w:val="003865A3"/>
    <w:rsid w:val="003948EA"/>
    <w:rsid w:val="003968CA"/>
    <w:rsid w:val="003A27B3"/>
    <w:rsid w:val="003B1EE4"/>
    <w:rsid w:val="003B45F7"/>
    <w:rsid w:val="003B6623"/>
    <w:rsid w:val="003C1A48"/>
    <w:rsid w:val="003C592C"/>
    <w:rsid w:val="003C6B0E"/>
    <w:rsid w:val="003C71EE"/>
    <w:rsid w:val="003D3CEE"/>
    <w:rsid w:val="003D50BA"/>
    <w:rsid w:val="003D7498"/>
    <w:rsid w:val="003F6A0A"/>
    <w:rsid w:val="004234AE"/>
    <w:rsid w:val="0042781A"/>
    <w:rsid w:val="00430153"/>
    <w:rsid w:val="00430E9B"/>
    <w:rsid w:val="00433CEA"/>
    <w:rsid w:val="0044511A"/>
    <w:rsid w:val="00462750"/>
    <w:rsid w:val="00464567"/>
    <w:rsid w:val="0046531A"/>
    <w:rsid w:val="00477200"/>
    <w:rsid w:val="00490CDE"/>
    <w:rsid w:val="00493D06"/>
    <w:rsid w:val="004A63BE"/>
    <w:rsid w:val="004B0ABE"/>
    <w:rsid w:val="004B0C49"/>
    <w:rsid w:val="004B4001"/>
    <w:rsid w:val="004C1FE9"/>
    <w:rsid w:val="004D574A"/>
    <w:rsid w:val="004E589D"/>
    <w:rsid w:val="004F0CC3"/>
    <w:rsid w:val="005035E9"/>
    <w:rsid w:val="0051222C"/>
    <w:rsid w:val="005139AE"/>
    <w:rsid w:val="00516E09"/>
    <w:rsid w:val="00522A37"/>
    <w:rsid w:val="00525975"/>
    <w:rsid w:val="005268F4"/>
    <w:rsid w:val="00532654"/>
    <w:rsid w:val="00551534"/>
    <w:rsid w:val="005515A9"/>
    <w:rsid w:val="00551A06"/>
    <w:rsid w:val="00555D1E"/>
    <w:rsid w:val="00561523"/>
    <w:rsid w:val="00580608"/>
    <w:rsid w:val="0058226E"/>
    <w:rsid w:val="00587C20"/>
    <w:rsid w:val="00591E28"/>
    <w:rsid w:val="00594695"/>
    <w:rsid w:val="00596E44"/>
    <w:rsid w:val="005A2812"/>
    <w:rsid w:val="005A4892"/>
    <w:rsid w:val="005B2B21"/>
    <w:rsid w:val="005B3065"/>
    <w:rsid w:val="005C1739"/>
    <w:rsid w:val="005C6158"/>
    <w:rsid w:val="005E1BA8"/>
    <w:rsid w:val="005F0594"/>
    <w:rsid w:val="006010F5"/>
    <w:rsid w:val="00610A11"/>
    <w:rsid w:val="00611841"/>
    <w:rsid w:val="00612C4E"/>
    <w:rsid w:val="006208B2"/>
    <w:rsid w:val="00621EBC"/>
    <w:rsid w:val="00624CDE"/>
    <w:rsid w:val="0062738D"/>
    <w:rsid w:val="006335CA"/>
    <w:rsid w:val="00635CF8"/>
    <w:rsid w:val="00636861"/>
    <w:rsid w:val="00637122"/>
    <w:rsid w:val="0063771A"/>
    <w:rsid w:val="00641646"/>
    <w:rsid w:val="00644647"/>
    <w:rsid w:val="00667391"/>
    <w:rsid w:val="00671482"/>
    <w:rsid w:val="006737F2"/>
    <w:rsid w:val="00673FA4"/>
    <w:rsid w:val="006741F2"/>
    <w:rsid w:val="00675C23"/>
    <w:rsid w:val="00676EEE"/>
    <w:rsid w:val="006821F8"/>
    <w:rsid w:val="00683596"/>
    <w:rsid w:val="006842BD"/>
    <w:rsid w:val="006870BB"/>
    <w:rsid w:val="00697BF0"/>
    <w:rsid w:val="006A5BE6"/>
    <w:rsid w:val="006B22AE"/>
    <w:rsid w:val="006B2DE5"/>
    <w:rsid w:val="006B33FA"/>
    <w:rsid w:val="006B5259"/>
    <w:rsid w:val="006B5986"/>
    <w:rsid w:val="006C448E"/>
    <w:rsid w:val="006C4D60"/>
    <w:rsid w:val="006D7EC4"/>
    <w:rsid w:val="006E1162"/>
    <w:rsid w:val="00705D33"/>
    <w:rsid w:val="0070710C"/>
    <w:rsid w:val="007118FE"/>
    <w:rsid w:val="0071498A"/>
    <w:rsid w:val="007207A6"/>
    <w:rsid w:val="007208AD"/>
    <w:rsid w:val="007222F8"/>
    <w:rsid w:val="0072510C"/>
    <w:rsid w:val="00726E97"/>
    <w:rsid w:val="007324B9"/>
    <w:rsid w:val="00735154"/>
    <w:rsid w:val="00745C2D"/>
    <w:rsid w:val="00746664"/>
    <w:rsid w:val="007479E2"/>
    <w:rsid w:val="0075468B"/>
    <w:rsid w:val="00760027"/>
    <w:rsid w:val="007612BB"/>
    <w:rsid w:val="0076526A"/>
    <w:rsid w:val="00765A48"/>
    <w:rsid w:val="007753B2"/>
    <w:rsid w:val="007773D6"/>
    <w:rsid w:val="00790389"/>
    <w:rsid w:val="007B0827"/>
    <w:rsid w:val="007B088F"/>
    <w:rsid w:val="007B35D3"/>
    <w:rsid w:val="007B79CD"/>
    <w:rsid w:val="007C479A"/>
    <w:rsid w:val="007D6CE4"/>
    <w:rsid w:val="007E164A"/>
    <w:rsid w:val="007E4B47"/>
    <w:rsid w:val="007E5725"/>
    <w:rsid w:val="007E580D"/>
    <w:rsid w:val="008129CD"/>
    <w:rsid w:val="00813869"/>
    <w:rsid w:val="00820929"/>
    <w:rsid w:val="00822F60"/>
    <w:rsid w:val="008252F7"/>
    <w:rsid w:val="00844E63"/>
    <w:rsid w:val="00844FBD"/>
    <w:rsid w:val="00845160"/>
    <w:rsid w:val="00845210"/>
    <w:rsid w:val="0084620E"/>
    <w:rsid w:val="00852C7A"/>
    <w:rsid w:val="00854505"/>
    <w:rsid w:val="00855956"/>
    <w:rsid w:val="008561E9"/>
    <w:rsid w:val="0085771E"/>
    <w:rsid w:val="00862409"/>
    <w:rsid w:val="00863076"/>
    <w:rsid w:val="00864E3B"/>
    <w:rsid w:val="0086611E"/>
    <w:rsid w:val="0086633E"/>
    <w:rsid w:val="00871B17"/>
    <w:rsid w:val="00881A2C"/>
    <w:rsid w:val="00882A3B"/>
    <w:rsid w:val="00883D96"/>
    <w:rsid w:val="00885FCA"/>
    <w:rsid w:val="008926B1"/>
    <w:rsid w:val="00896B5D"/>
    <w:rsid w:val="008A3BC7"/>
    <w:rsid w:val="008A4412"/>
    <w:rsid w:val="008E7A5D"/>
    <w:rsid w:val="008F17DE"/>
    <w:rsid w:val="008F2A7D"/>
    <w:rsid w:val="008F7F4F"/>
    <w:rsid w:val="00905C50"/>
    <w:rsid w:val="009144C1"/>
    <w:rsid w:val="009219D1"/>
    <w:rsid w:val="00922501"/>
    <w:rsid w:val="0093335D"/>
    <w:rsid w:val="0094286C"/>
    <w:rsid w:val="0095798E"/>
    <w:rsid w:val="0098179A"/>
    <w:rsid w:val="00982310"/>
    <w:rsid w:val="0099310C"/>
    <w:rsid w:val="009A1A5F"/>
    <w:rsid w:val="009A7BAF"/>
    <w:rsid w:val="009B6870"/>
    <w:rsid w:val="009C64F2"/>
    <w:rsid w:val="009D2ABD"/>
    <w:rsid w:val="009D7D14"/>
    <w:rsid w:val="009E2A4B"/>
    <w:rsid w:val="009E4215"/>
    <w:rsid w:val="009F3B8C"/>
    <w:rsid w:val="009F4B54"/>
    <w:rsid w:val="00A03461"/>
    <w:rsid w:val="00A04D71"/>
    <w:rsid w:val="00A122FE"/>
    <w:rsid w:val="00A21086"/>
    <w:rsid w:val="00A30BEA"/>
    <w:rsid w:val="00A42D9B"/>
    <w:rsid w:val="00A804D1"/>
    <w:rsid w:val="00A84CB6"/>
    <w:rsid w:val="00A8504E"/>
    <w:rsid w:val="00A851FE"/>
    <w:rsid w:val="00A95F6B"/>
    <w:rsid w:val="00A9666D"/>
    <w:rsid w:val="00AA1EA9"/>
    <w:rsid w:val="00AC6F99"/>
    <w:rsid w:val="00AE307A"/>
    <w:rsid w:val="00AE3E73"/>
    <w:rsid w:val="00AF7F9F"/>
    <w:rsid w:val="00B00BEB"/>
    <w:rsid w:val="00B024C4"/>
    <w:rsid w:val="00B028AB"/>
    <w:rsid w:val="00B0772C"/>
    <w:rsid w:val="00B134BD"/>
    <w:rsid w:val="00B13A57"/>
    <w:rsid w:val="00B1425D"/>
    <w:rsid w:val="00B21884"/>
    <w:rsid w:val="00B31E64"/>
    <w:rsid w:val="00B33C0E"/>
    <w:rsid w:val="00B4060A"/>
    <w:rsid w:val="00B42FFE"/>
    <w:rsid w:val="00B47E33"/>
    <w:rsid w:val="00B5633A"/>
    <w:rsid w:val="00B702F4"/>
    <w:rsid w:val="00B76783"/>
    <w:rsid w:val="00B81E4E"/>
    <w:rsid w:val="00B8496C"/>
    <w:rsid w:val="00B9408A"/>
    <w:rsid w:val="00B94647"/>
    <w:rsid w:val="00BA619B"/>
    <w:rsid w:val="00BB0DD7"/>
    <w:rsid w:val="00BB60BC"/>
    <w:rsid w:val="00BB6467"/>
    <w:rsid w:val="00BC1B4A"/>
    <w:rsid w:val="00BC420B"/>
    <w:rsid w:val="00BC5159"/>
    <w:rsid w:val="00BC591A"/>
    <w:rsid w:val="00BC63CA"/>
    <w:rsid w:val="00BD2BBF"/>
    <w:rsid w:val="00BE235D"/>
    <w:rsid w:val="00BF463C"/>
    <w:rsid w:val="00BF65BE"/>
    <w:rsid w:val="00C06353"/>
    <w:rsid w:val="00C06F63"/>
    <w:rsid w:val="00C07F1E"/>
    <w:rsid w:val="00C1416B"/>
    <w:rsid w:val="00C14BC8"/>
    <w:rsid w:val="00C21E8B"/>
    <w:rsid w:val="00C223C7"/>
    <w:rsid w:val="00C27C5F"/>
    <w:rsid w:val="00C328A0"/>
    <w:rsid w:val="00C33822"/>
    <w:rsid w:val="00C34E85"/>
    <w:rsid w:val="00C45B3F"/>
    <w:rsid w:val="00C471F9"/>
    <w:rsid w:val="00C54B53"/>
    <w:rsid w:val="00C550F5"/>
    <w:rsid w:val="00C61479"/>
    <w:rsid w:val="00C61BEC"/>
    <w:rsid w:val="00C61E27"/>
    <w:rsid w:val="00C6305B"/>
    <w:rsid w:val="00C7341A"/>
    <w:rsid w:val="00C77A72"/>
    <w:rsid w:val="00C81FBA"/>
    <w:rsid w:val="00C84258"/>
    <w:rsid w:val="00C86291"/>
    <w:rsid w:val="00C87490"/>
    <w:rsid w:val="00C87610"/>
    <w:rsid w:val="00C92770"/>
    <w:rsid w:val="00CA27DB"/>
    <w:rsid w:val="00CA5357"/>
    <w:rsid w:val="00CA6040"/>
    <w:rsid w:val="00CA7DA4"/>
    <w:rsid w:val="00CB0550"/>
    <w:rsid w:val="00CD02CD"/>
    <w:rsid w:val="00CD52CC"/>
    <w:rsid w:val="00CE17CE"/>
    <w:rsid w:val="00CF095F"/>
    <w:rsid w:val="00D03EC7"/>
    <w:rsid w:val="00D14BBD"/>
    <w:rsid w:val="00D207B5"/>
    <w:rsid w:val="00D22DC6"/>
    <w:rsid w:val="00D31A99"/>
    <w:rsid w:val="00D32C18"/>
    <w:rsid w:val="00D34680"/>
    <w:rsid w:val="00D41EF9"/>
    <w:rsid w:val="00D47954"/>
    <w:rsid w:val="00D605E4"/>
    <w:rsid w:val="00D66B10"/>
    <w:rsid w:val="00D72ADB"/>
    <w:rsid w:val="00D82AC6"/>
    <w:rsid w:val="00D86CEA"/>
    <w:rsid w:val="00DA1601"/>
    <w:rsid w:val="00DD101E"/>
    <w:rsid w:val="00DD4F07"/>
    <w:rsid w:val="00DE04E5"/>
    <w:rsid w:val="00DE3978"/>
    <w:rsid w:val="00E0061B"/>
    <w:rsid w:val="00E02F76"/>
    <w:rsid w:val="00E04A7C"/>
    <w:rsid w:val="00E073DC"/>
    <w:rsid w:val="00E105B6"/>
    <w:rsid w:val="00E15479"/>
    <w:rsid w:val="00E162AC"/>
    <w:rsid w:val="00E30674"/>
    <w:rsid w:val="00E3209D"/>
    <w:rsid w:val="00E35A55"/>
    <w:rsid w:val="00E521EA"/>
    <w:rsid w:val="00E55F10"/>
    <w:rsid w:val="00E574D7"/>
    <w:rsid w:val="00E71278"/>
    <w:rsid w:val="00E737F4"/>
    <w:rsid w:val="00E771B9"/>
    <w:rsid w:val="00E84787"/>
    <w:rsid w:val="00E84E72"/>
    <w:rsid w:val="00E85D74"/>
    <w:rsid w:val="00E91012"/>
    <w:rsid w:val="00E95135"/>
    <w:rsid w:val="00E959BA"/>
    <w:rsid w:val="00E9622C"/>
    <w:rsid w:val="00EA2BEF"/>
    <w:rsid w:val="00EA77F4"/>
    <w:rsid w:val="00EB75B9"/>
    <w:rsid w:val="00EC16DB"/>
    <w:rsid w:val="00EC1E63"/>
    <w:rsid w:val="00EC3F6B"/>
    <w:rsid w:val="00EC65DE"/>
    <w:rsid w:val="00ED1419"/>
    <w:rsid w:val="00EE24D1"/>
    <w:rsid w:val="00EE3459"/>
    <w:rsid w:val="00EE36FC"/>
    <w:rsid w:val="00F02E0F"/>
    <w:rsid w:val="00F13EC3"/>
    <w:rsid w:val="00F20756"/>
    <w:rsid w:val="00F21759"/>
    <w:rsid w:val="00F251F7"/>
    <w:rsid w:val="00F3551A"/>
    <w:rsid w:val="00F37823"/>
    <w:rsid w:val="00F438DF"/>
    <w:rsid w:val="00F644BB"/>
    <w:rsid w:val="00FA4236"/>
    <w:rsid w:val="00FA688D"/>
    <w:rsid w:val="00FA7C7E"/>
    <w:rsid w:val="00FB19B2"/>
    <w:rsid w:val="00FB628F"/>
    <w:rsid w:val="00FD3260"/>
    <w:rsid w:val="00FD790B"/>
    <w:rsid w:val="00FD799B"/>
    <w:rsid w:val="00FE0D9A"/>
    <w:rsid w:val="00FF0F0B"/>
    <w:rsid w:val="00FF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CEA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180BB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table" w:styleId="a3">
    <w:name w:val="Table Grid"/>
    <w:basedOn w:val="a1"/>
    <w:uiPriority w:val="99"/>
    <w:rsid w:val="00180BBC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rsid w:val="00FA68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FA688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FA68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FA688D"/>
    <w:rPr>
      <w:sz w:val="18"/>
      <w:szCs w:val="18"/>
    </w:rPr>
  </w:style>
  <w:style w:type="paragraph" w:styleId="a6">
    <w:name w:val="List Paragraph"/>
    <w:basedOn w:val="a"/>
    <w:uiPriority w:val="34"/>
    <w:qFormat/>
    <w:rsid w:val="00A8504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CEA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180BB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table" w:styleId="a3">
    <w:name w:val="Table Grid"/>
    <w:basedOn w:val="a1"/>
    <w:uiPriority w:val="99"/>
    <w:rsid w:val="00180BBC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rsid w:val="00FA68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FA688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FA68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FA688D"/>
    <w:rPr>
      <w:sz w:val="18"/>
      <w:szCs w:val="18"/>
    </w:rPr>
  </w:style>
  <w:style w:type="paragraph" w:styleId="a6">
    <w:name w:val="List Paragraph"/>
    <w:basedOn w:val="a"/>
    <w:uiPriority w:val="34"/>
    <w:qFormat/>
    <w:rsid w:val="00A850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03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105</Words>
  <Characters>603</Characters>
  <Application>Microsoft Office Word</Application>
  <DocSecurity>0</DocSecurity>
  <Lines>5</Lines>
  <Paragraphs>1</Paragraphs>
  <ScaleCrop>false</ScaleCrop>
  <Company>china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证券代码：600971      证券简称：恒源煤电    公告编号：2017-018</dc:title>
  <dc:creator>Administrator</dc:creator>
  <cp:lastModifiedBy>马开峰</cp:lastModifiedBy>
  <cp:revision>4</cp:revision>
  <cp:lastPrinted>2018-07-11T07:12:00Z</cp:lastPrinted>
  <dcterms:created xsi:type="dcterms:W3CDTF">2020-07-10T00:35:00Z</dcterms:created>
  <dcterms:modified xsi:type="dcterms:W3CDTF">2020-07-10T01:28:00Z</dcterms:modified>
</cp:coreProperties>
</file>